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5E4F6D0F"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D9092D">
        <w:rPr>
          <w:rFonts w:ascii="Arial" w:hAnsi="Arial" w:cs="Arial"/>
          <w:b/>
          <w:sz w:val="22"/>
          <w:szCs w:val="22"/>
        </w:rPr>
        <w:t>4</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5F48C0">
        <w:rPr>
          <w:rFonts w:ascii="Arial" w:hAnsi="Arial" w:cs="Arial"/>
          <w:b/>
          <w:sz w:val="22"/>
          <w:szCs w:val="22"/>
        </w:rPr>
        <w:t>50</w:t>
      </w:r>
      <w:r w:rsidR="00555DC0">
        <w:rPr>
          <w:rFonts w:ascii="Arial" w:hAnsi="Arial" w:cs="Arial"/>
          <w:b/>
          <w:sz w:val="22"/>
          <w:szCs w:val="22"/>
        </w:rPr>
        <w:t>1063</w:t>
      </w:r>
    </w:p>
    <w:p w14:paraId="0A9F36F3" w14:textId="2DDAD426" w:rsidR="00830EEF" w:rsidRPr="00830EEF" w:rsidRDefault="00D9092D" w:rsidP="00830EEF">
      <w:pPr>
        <w:widowControl w:val="0"/>
        <w:spacing w:after="0"/>
        <w:rPr>
          <w:rFonts w:ascii="Arial" w:hAnsi="Arial"/>
          <w:b/>
          <w:noProof/>
          <w:sz w:val="22"/>
          <w:szCs w:val="22"/>
        </w:rPr>
      </w:pPr>
      <w:r>
        <w:rPr>
          <w:rFonts w:ascii="Arial" w:hAnsi="Arial"/>
          <w:b/>
          <w:noProof/>
          <w:sz w:val="22"/>
          <w:szCs w:val="22"/>
        </w:rPr>
        <w:t>Athens</w:t>
      </w:r>
      <w:r w:rsidR="00830EEF" w:rsidRPr="00830EEF">
        <w:rPr>
          <w:rFonts w:ascii="Arial" w:hAnsi="Arial"/>
          <w:b/>
          <w:noProof/>
          <w:sz w:val="22"/>
          <w:szCs w:val="22"/>
        </w:rPr>
        <w:t xml:space="preserve">, </w:t>
      </w:r>
      <w:r>
        <w:rPr>
          <w:rFonts w:ascii="Arial" w:hAnsi="Arial"/>
          <w:b/>
          <w:noProof/>
          <w:sz w:val="22"/>
          <w:szCs w:val="22"/>
        </w:rPr>
        <w:t>Greece</w:t>
      </w:r>
      <w:r w:rsidR="00830EEF" w:rsidRPr="00830EEF">
        <w:rPr>
          <w:rFonts w:ascii="Arial" w:hAnsi="Arial"/>
          <w:b/>
          <w:noProof/>
          <w:sz w:val="22"/>
          <w:szCs w:val="22"/>
        </w:rPr>
        <w:t xml:space="preserve">, </w:t>
      </w:r>
      <w:r>
        <w:rPr>
          <w:rFonts w:ascii="Arial" w:hAnsi="Arial"/>
          <w:b/>
          <w:noProof/>
          <w:sz w:val="22"/>
          <w:szCs w:val="22"/>
        </w:rPr>
        <w:t>Feb</w:t>
      </w:r>
      <w:r w:rsidR="00830EEF" w:rsidRPr="00830EEF">
        <w:rPr>
          <w:rFonts w:ascii="Arial" w:hAnsi="Arial"/>
          <w:b/>
          <w:noProof/>
          <w:sz w:val="22"/>
          <w:szCs w:val="22"/>
        </w:rPr>
        <w:t xml:space="preserve"> 1</w:t>
      </w:r>
      <w:r>
        <w:rPr>
          <w:rFonts w:ascii="Arial" w:hAnsi="Arial"/>
          <w:b/>
          <w:noProof/>
          <w:sz w:val="22"/>
          <w:szCs w:val="22"/>
        </w:rPr>
        <w:t>7</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2</w:t>
      </w:r>
      <w:r>
        <w:rPr>
          <w:rFonts w:ascii="Arial" w:hAnsi="Arial"/>
          <w:b/>
          <w:noProof/>
          <w:sz w:val="22"/>
          <w:szCs w:val="22"/>
        </w:rPr>
        <w:t>1</w:t>
      </w:r>
      <w:r>
        <w:rPr>
          <w:rFonts w:ascii="Arial" w:hAnsi="Arial"/>
          <w:b/>
          <w:noProof/>
          <w:sz w:val="22"/>
          <w:szCs w:val="22"/>
          <w:vertAlign w:val="superscript"/>
        </w:rPr>
        <w:t>st</w:t>
      </w:r>
      <w:r w:rsidR="00830EEF" w:rsidRPr="00830EEF">
        <w:rPr>
          <w:rFonts w:ascii="Arial" w:hAnsi="Arial"/>
          <w:b/>
          <w:noProof/>
          <w:sz w:val="22"/>
          <w:szCs w:val="22"/>
        </w:rPr>
        <w:t xml:space="preserve"> , 202</w:t>
      </w:r>
      <w:r>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78B280C2"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4F5D1A" w:rsidRPr="004F5D1A">
        <w:rPr>
          <w:rFonts w:ascii="Arial" w:hAnsi="Arial" w:cs="Arial"/>
          <w:b/>
          <w:sz w:val="22"/>
        </w:rPr>
        <w:t xml:space="preserve">Further discussion on BS </w:t>
      </w:r>
      <w:r w:rsidR="00B86123">
        <w:rPr>
          <w:rFonts w:ascii="Arial" w:hAnsi="Arial" w:cs="Arial"/>
          <w:b/>
          <w:sz w:val="22"/>
        </w:rPr>
        <w:t xml:space="preserve">in-band </w:t>
      </w:r>
      <w:r w:rsidR="004F5D1A" w:rsidRPr="004F5D1A">
        <w:rPr>
          <w:rFonts w:ascii="Arial" w:hAnsi="Arial" w:cs="Arial"/>
          <w:b/>
          <w:sz w:val="22"/>
        </w:rPr>
        <w:t>blocking for the frequency range 14.8GHz - 15.35GHz</w:t>
      </w:r>
    </w:p>
    <w:p w14:paraId="73AD8CE3" w14:textId="0D725F3F"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4F5D1A">
        <w:rPr>
          <w:rFonts w:ascii="Arial" w:hAnsi="Arial" w:cs="Arial"/>
          <w:b/>
          <w:sz w:val="22"/>
        </w:rPr>
        <w:t>7</w:t>
      </w:r>
      <w:r w:rsidR="00280D59" w:rsidRPr="00AA4927">
        <w:rPr>
          <w:rFonts w:ascii="Arial" w:hAnsi="Arial" w:cs="Arial"/>
          <w:b/>
          <w:bCs/>
          <w:sz w:val="22"/>
          <w:lang w:eastAsia="zh-CN"/>
        </w:rPr>
        <w:t>.</w:t>
      </w:r>
      <w:r w:rsidR="004F5D1A">
        <w:rPr>
          <w:rFonts w:ascii="Arial" w:hAnsi="Arial" w:cs="Arial"/>
          <w:b/>
          <w:bCs/>
          <w:sz w:val="22"/>
          <w:lang w:eastAsia="zh-CN"/>
        </w:rPr>
        <w:t>2</w:t>
      </w:r>
      <w:r w:rsidR="00CD6A21">
        <w:rPr>
          <w:rFonts w:ascii="Arial" w:hAnsi="Arial" w:cs="Arial"/>
          <w:b/>
          <w:bCs/>
          <w:sz w:val="22"/>
          <w:lang w:eastAsia="zh-CN"/>
        </w:rPr>
        <w:t>.</w:t>
      </w:r>
      <w:r w:rsidR="004F5D1A">
        <w:rPr>
          <w:rFonts w:ascii="Arial" w:hAnsi="Arial" w:cs="Arial"/>
          <w:b/>
          <w:bCs/>
          <w:sz w:val="22"/>
          <w:lang w:eastAsia="zh-CN"/>
        </w:rPr>
        <w:t>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537F9B5C" w14:textId="77777777" w:rsidR="008070E1" w:rsidRPr="00627FD1" w:rsidRDefault="008070E1" w:rsidP="008070E1">
      <w:pPr>
        <w:pStyle w:val="B1"/>
        <w:ind w:left="0" w:firstLine="0"/>
        <w:rPr>
          <w:sz w:val="24"/>
          <w:szCs w:val="24"/>
          <w:lang w:eastAsia="zh-CN"/>
        </w:rPr>
      </w:pPr>
      <w:r>
        <w:rPr>
          <w:sz w:val="24"/>
          <w:szCs w:val="24"/>
          <w:lang w:eastAsia="zh-CN"/>
        </w:rPr>
        <w:t xml:space="preserve">With the three reply LSs sent to ITU WP5D as planned, the study item on IMT parameters for NR for 4400 to 4800MHz, 7125 to 8400MHz and 14800 to 15350MHz was proposed to be extended with one quarter, aiming at concluding BS in-band blocking for 15GHz and </w:t>
      </w:r>
      <w:r w:rsidRPr="006760C7">
        <w:rPr>
          <w:sz w:val="24"/>
          <w:szCs w:val="24"/>
          <w:lang w:eastAsia="zh-CN"/>
        </w:rPr>
        <w:t>align</w:t>
      </w:r>
      <w:r>
        <w:rPr>
          <w:sz w:val="24"/>
          <w:szCs w:val="24"/>
          <w:lang w:eastAsia="zh-CN"/>
        </w:rPr>
        <w:t>ing</w:t>
      </w:r>
      <w:r w:rsidRPr="006760C7">
        <w:rPr>
          <w:sz w:val="24"/>
          <w:szCs w:val="24"/>
          <w:lang w:eastAsia="zh-CN"/>
        </w:rPr>
        <w:t xml:space="preserve"> TR sections and correct where necessary</w:t>
      </w:r>
      <w:r>
        <w:rPr>
          <w:sz w:val="24"/>
          <w:szCs w:val="24"/>
          <w:lang w:eastAsia="zh-CN"/>
        </w:rPr>
        <w:t xml:space="preserve"> [1], and got approved by RAN#106 [2].</w:t>
      </w:r>
    </w:p>
    <w:p w14:paraId="72C96DF0" w14:textId="547B65F1" w:rsidR="004B06D6" w:rsidRDefault="00D5454C" w:rsidP="009267C2">
      <w:pPr>
        <w:pStyle w:val="B1"/>
        <w:ind w:left="0" w:firstLine="0"/>
        <w:rPr>
          <w:sz w:val="24"/>
          <w:szCs w:val="24"/>
          <w:lang w:eastAsia="zh-CN"/>
        </w:rPr>
      </w:pPr>
      <w:r>
        <w:rPr>
          <w:sz w:val="24"/>
          <w:szCs w:val="24"/>
          <w:lang w:eastAsia="zh-CN"/>
        </w:rPr>
        <w:t xml:space="preserve">Unlike 8GHz frequency range where band n104 can act a good reference point for related parameters including in-band blocking level [3][4], </w:t>
      </w:r>
      <w:r w:rsidR="00546212">
        <w:rPr>
          <w:sz w:val="24"/>
          <w:szCs w:val="24"/>
          <w:lang w:eastAsia="zh-CN"/>
        </w:rPr>
        <w:t xml:space="preserve">in-band blocking level for </w:t>
      </w:r>
      <w:r>
        <w:rPr>
          <w:sz w:val="24"/>
          <w:szCs w:val="24"/>
          <w:lang w:eastAsia="zh-CN"/>
        </w:rPr>
        <w:t>the 15GHz frequency range</w:t>
      </w:r>
      <w:r w:rsidR="004B06D6">
        <w:rPr>
          <w:sz w:val="24"/>
          <w:szCs w:val="24"/>
          <w:lang w:eastAsia="zh-CN"/>
        </w:rPr>
        <w:t xml:space="preserve"> is still open as </w:t>
      </w:r>
      <w:r w:rsidR="00E43EB3">
        <w:rPr>
          <w:sz w:val="24"/>
          <w:szCs w:val="24"/>
          <w:lang w:eastAsia="zh-CN"/>
        </w:rPr>
        <w:t xml:space="preserve">shown in the </w:t>
      </w:r>
      <w:r w:rsidR="004B06D6">
        <w:rPr>
          <w:sz w:val="24"/>
          <w:szCs w:val="24"/>
          <w:lang w:eastAsia="zh-CN"/>
        </w:rPr>
        <w:t>following</w:t>
      </w:r>
      <w:r w:rsidR="00E43EB3">
        <w:rPr>
          <w:sz w:val="24"/>
          <w:szCs w:val="24"/>
          <w:lang w:eastAsia="zh-CN"/>
        </w:rPr>
        <w:t xml:space="preserve"> issue from the approved way forward</w:t>
      </w:r>
      <w:r w:rsidR="004B06D6">
        <w:rPr>
          <w:sz w:val="24"/>
          <w:szCs w:val="24"/>
          <w:lang w:eastAsia="zh-CN"/>
        </w:rPr>
        <w:t xml:space="preserve"> [5]:</w:t>
      </w:r>
    </w:p>
    <w:tbl>
      <w:tblPr>
        <w:tblStyle w:val="TableGrid"/>
        <w:tblW w:w="0" w:type="auto"/>
        <w:tblLook w:val="04A0" w:firstRow="1" w:lastRow="0" w:firstColumn="1" w:lastColumn="0" w:noHBand="0" w:noVBand="1"/>
      </w:tblPr>
      <w:tblGrid>
        <w:gridCol w:w="10457"/>
      </w:tblGrid>
      <w:tr w:rsidR="004B06D6" w:rsidRPr="004B06D6" w14:paraId="5B656F18" w14:textId="77777777" w:rsidTr="004B06D6">
        <w:tc>
          <w:tcPr>
            <w:tcW w:w="10457" w:type="dxa"/>
          </w:tcPr>
          <w:p w14:paraId="761FF0EB" w14:textId="77777777" w:rsidR="004B06D6" w:rsidRPr="004B06D6" w:rsidRDefault="004B06D6" w:rsidP="004B06D6">
            <w:pPr>
              <w:overflowPunct/>
              <w:autoSpaceDE/>
              <w:autoSpaceDN/>
              <w:adjustRightInd/>
              <w:spacing w:line="259" w:lineRule="auto"/>
              <w:textAlignment w:val="auto"/>
              <w:rPr>
                <w:rFonts w:eastAsia="SimSun"/>
                <w:b/>
                <w:i/>
                <w:iCs/>
                <w:u w:val="single"/>
                <w:lang w:val="en-US" w:eastAsia="zh-CN"/>
              </w:rPr>
            </w:pPr>
            <w:r w:rsidRPr="004B06D6">
              <w:rPr>
                <w:rFonts w:eastAsia="SimSun"/>
                <w:b/>
                <w:i/>
                <w:iCs/>
                <w:u w:val="single"/>
                <w:lang w:eastAsia="en-US"/>
              </w:rPr>
              <w:t>Issue 4-2-</w:t>
            </w:r>
            <w:r w:rsidRPr="004B06D6">
              <w:rPr>
                <w:rFonts w:eastAsia="SimSun" w:hint="eastAsia"/>
                <w:b/>
                <w:i/>
                <w:iCs/>
                <w:u w:val="single"/>
                <w:lang w:val="en-US" w:eastAsia="zh-CN"/>
              </w:rPr>
              <w:t>X</w:t>
            </w:r>
            <w:r w:rsidRPr="004B06D6">
              <w:rPr>
                <w:rFonts w:eastAsia="SimSun"/>
                <w:b/>
                <w:i/>
                <w:iCs/>
                <w:u w:val="single"/>
                <w:lang w:eastAsia="en-US"/>
              </w:rPr>
              <w:t xml:space="preserve">: </w:t>
            </w:r>
            <w:r w:rsidRPr="004B06D6">
              <w:rPr>
                <w:rFonts w:eastAsia="SimSun" w:hint="eastAsia"/>
                <w:b/>
                <w:i/>
                <w:iCs/>
                <w:u w:val="single"/>
                <w:lang w:val="en-US" w:eastAsia="zh-CN"/>
              </w:rPr>
              <w:t>In-band blocking</w:t>
            </w:r>
          </w:p>
          <w:p w14:paraId="426A6ACC" w14:textId="77777777" w:rsidR="004B06D6" w:rsidRPr="004B06D6" w:rsidRDefault="004B06D6" w:rsidP="004B06D6">
            <w:pPr>
              <w:overflowPunct/>
              <w:autoSpaceDE/>
              <w:autoSpaceDN/>
              <w:adjustRightInd/>
              <w:spacing w:line="259" w:lineRule="auto"/>
              <w:textAlignment w:val="auto"/>
              <w:rPr>
                <w:rFonts w:eastAsia="Malgun Gothic"/>
                <w:b/>
                <w:i/>
                <w:iCs/>
                <w:u w:val="single"/>
                <w:lang w:val="en-US" w:eastAsia="en-US"/>
              </w:rPr>
            </w:pPr>
            <w:r w:rsidRPr="004B06D6">
              <w:rPr>
                <w:rFonts w:eastAsia="Malgun Gothic" w:hint="eastAsia"/>
                <w:b/>
                <w:i/>
                <w:iCs/>
                <w:u w:val="single"/>
                <w:lang w:val="en-US" w:eastAsia="en-US"/>
              </w:rPr>
              <w:t>Agreement</w:t>
            </w:r>
          </w:p>
          <w:p w14:paraId="696B7B48" w14:textId="7FC88A9A" w:rsidR="004B06D6" w:rsidRPr="004B06D6" w:rsidRDefault="004B06D6" w:rsidP="004B06D6">
            <w:pPr>
              <w:spacing w:line="259" w:lineRule="auto"/>
              <w:ind w:leftChars="200" w:left="400"/>
              <w:rPr>
                <w:rFonts w:eastAsia="MS Mincho"/>
                <w:i/>
                <w:iCs/>
                <w:lang w:val="en-US" w:eastAsia="zh-CN"/>
              </w:rPr>
            </w:pPr>
            <w:r w:rsidRPr="004B06D6">
              <w:rPr>
                <w:rFonts w:eastAsia="MS Mincho"/>
                <w:i/>
                <w:iCs/>
                <w:lang w:val="en-US" w:eastAsia="zh-CN"/>
              </w:rPr>
              <w:t>For LS: Mention “To be specified"</w:t>
            </w:r>
            <w:r w:rsidRPr="004B06D6">
              <w:rPr>
                <w:rFonts w:eastAsia="MS Mincho"/>
                <w:i/>
                <w:iCs/>
                <w:lang w:val="en-US" w:eastAsia="zh-CN"/>
              </w:rPr>
              <w:br/>
              <w:t>For TR: FFS for next meeting</w:t>
            </w:r>
          </w:p>
        </w:tc>
      </w:tr>
    </w:tbl>
    <w:p w14:paraId="20607915" w14:textId="38E81AAD" w:rsidR="004B06D6" w:rsidRPr="00627FD1" w:rsidRDefault="004B06D6" w:rsidP="009267C2">
      <w:pPr>
        <w:pStyle w:val="B1"/>
        <w:ind w:left="0" w:firstLine="0"/>
        <w:rPr>
          <w:sz w:val="24"/>
          <w:szCs w:val="24"/>
          <w:lang w:eastAsia="zh-CN"/>
        </w:rPr>
      </w:pPr>
      <w:r>
        <w:rPr>
          <w:sz w:val="24"/>
          <w:szCs w:val="24"/>
          <w:lang w:eastAsia="zh-CN"/>
        </w:rPr>
        <w:t>In this contribution, we provide an example of estimating power level of the in-band interference based on the ACS interferer</w:t>
      </w:r>
      <w:r w:rsidR="00F6526B">
        <w:rPr>
          <w:sz w:val="24"/>
          <w:szCs w:val="24"/>
          <w:lang w:eastAsia="zh-CN"/>
        </w:rPr>
        <w:t xml:space="preserve"> power level,</w:t>
      </w:r>
      <w:r w:rsidR="00E43EB3">
        <w:rPr>
          <w:sz w:val="24"/>
          <w:szCs w:val="24"/>
          <w:lang w:eastAsia="zh-CN"/>
        </w:rPr>
        <w:t xml:space="preserve"> </w:t>
      </w:r>
      <w:r>
        <w:rPr>
          <w:sz w:val="24"/>
          <w:szCs w:val="24"/>
          <w:lang w:eastAsia="zh-CN"/>
        </w:rPr>
        <w:t>and propose to leave it to the stage when specifying the band definition for this frequency range.</w:t>
      </w:r>
    </w:p>
    <w:p w14:paraId="383D39F2" w14:textId="78EDFAB8" w:rsidR="009267C2" w:rsidRPr="00AB3D40" w:rsidRDefault="00D80973" w:rsidP="009267C2">
      <w:pPr>
        <w:pStyle w:val="Heading1"/>
        <w:rPr>
          <w:lang w:eastAsia="zh-CN"/>
        </w:rPr>
      </w:pPr>
      <w:r>
        <w:t>2</w:t>
      </w:r>
      <w:r w:rsidR="009267C2">
        <w:t xml:space="preserve"> </w:t>
      </w:r>
      <w:r w:rsidR="001B434D">
        <w:t>Discussion</w:t>
      </w:r>
    </w:p>
    <w:p w14:paraId="0D4D142A" w14:textId="39B1DC12" w:rsidR="00D80973" w:rsidRPr="00E43EB3" w:rsidRDefault="00E43EB3" w:rsidP="009267C2">
      <w:pPr>
        <w:pStyle w:val="B1"/>
        <w:ind w:left="0" w:firstLine="0"/>
        <w:rPr>
          <w:b/>
          <w:bCs/>
          <w:sz w:val="24"/>
          <w:szCs w:val="24"/>
          <w:u w:val="single"/>
          <w:lang w:eastAsia="zh-CN"/>
        </w:rPr>
      </w:pPr>
      <w:r w:rsidRPr="00E43EB3">
        <w:rPr>
          <w:b/>
          <w:bCs/>
          <w:sz w:val="24"/>
          <w:szCs w:val="24"/>
          <w:u w:val="single"/>
          <w:lang w:eastAsia="zh-CN"/>
        </w:rPr>
        <w:t xml:space="preserve">Calculation of in-band interferer level </w:t>
      </w:r>
    </w:p>
    <w:p w14:paraId="6FA52557" w14:textId="77777777" w:rsidR="001664D1" w:rsidRDefault="009E0046" w:rsidP="009267C2">
      <w:pPr>
        <w:pStyle w:val="B1"/>
        <w:ind w:left="0" w:firstLine="0"/>
        <w:rPr>
          <w:sz w:val="24"/>
          <w:szCs w:val="24"/>
          <w:lang w:eastAsia="zh-CN"/>
        </w:rPr>
      </w:pPr>
      <w:r>
        <w:rPr>
          <w:sz w:val="24"/>
          <w:szCs w:val="24"/>
          <w:lang w:eastAsia="zh-CN"/>
        </w:rPr>
        <w:t>In order to calculate the in-band interferer level, we could firstly check the ACS interferer level. As replied in the third LS to WP5D, the typical channel bandwidth is 200MHz for this frequency range</w:t>
      </w:r>
      <w:r w:rsidR="001664D1">
        <w:rPr>
          <w:sz w:val="24"/>
          <w:szCs w:val="24"/>
          <w:lang w:eastAsia="zh-CN"/>
        </w:rPr>
        <w:t xml:space="preserve"> [6]. </w:t>
      </w:r>
    </w:p>
    <w:p w14:paraId="7D088503" w14:textId="15FEEBB4" w:rsidR="00E43EB3" w:rsidRDefault="001664D1" w:rsidP="009267C2">
      <w:pPr>
        <w:pStyle w:val="B1"/>
        <w:ind w:left="0" w:firstLine="0"/>
        <w:rPr>
          <w:sz w:val="24"/>
          <w:szCs w:val="24"/>
          <w:lang w:eastAsia="zh-CN"/>
        </w:rPr>
      </w:pPr>
      <w:r>
        <w:rPr>
          <w:sz w:val="24"/>
          <w:szCs w:val="24"/>
          <w:lang w:eastAsia="zh-CN"/>
        </w:rPr>
        <w:t>Starting from this parameter, one example is to presume 2 times of PRB number as that for 100MHz channel bandwith, i.e., 2*273 = 546 for SCS 30kHz, then the signal bandwidth could be computed as 196.6MHz, and BS Rx noise figure is set to 8dB, hence the noise floor</w:t>
      </w:r>
      <w:r w:rsidR="009E0046">
        <w:rPr>
          <w:sz w:val="24"/>
          <w:szCs w:val="24"/>
          <w:lang w:eastAsia="zh-CN"/>
        </w:rPr>
        <w:t xml:space="preserve"> </w:t>
      </w:r>
      <w:r>
        <w:rPr>
          <w:sz w:val="24"/>
          <w:szCs w:val="24"/>
          <w:lang w:eastAsia="zh-CN"/>
        </w:rPr>
        <w:t xml:space="preserve">of base station is -83.1dBm. </w:t>
      </w:r>
    </w:p>
    <w:p w14:paraId="7E546726" w14:textId="49DAC498" w:rsidR="001664D1" w:rsidRDefault="001664D1" w:rsidP="009267C2">
      <w:pPr>
        <w:pStyle w:val="B1"/>
        <w:ind w:left="0" w:firstLine="0"/>
        <w:rPr>
          <w:sz w:val="24"/>
          <w:szCs w:val="24"/>
          <w:lang w:eastAsia="zh-CN"/>
        </w:rPr>
      </w:pPr>
      <w:r>
        <w:rPr>
          <w:sz w:val="24"/>
          <w:szCs w:val="24"/>
          <w:lang w:eastAsia="zh-CN"/>
        </w:rPr>
        <w:t>And assuming the allowed desensitization is 6dB, then the total base station noise would be -77.1dBm, which means the allowed base station interference is -78.3dBm. Since BS ACS is set to 30dB, it means that the interfering signal level for ACS P</w:t>
      </w:r>
      <w:r w:rsidRPr="001664D1">
        <w:rPr>
          <w:sz w:val="24"/>
          <w:szCs w:val="24"/>
          <w:vertAlign w:val="subscript"/>
          <w:lang w:eastAsia="zh-CN"/>
        </w:rPr>
        <w:t>AI</w:t>
      </w:r>
      <w:r>
        <w:rPr>
          <w:sz w:val="24"/>
          <w:szCs w:val="24"/>
          <w:lang w:eastAsia="zh-CN"/>
        </w:rPr>
        <w:t xml:space="preserve"> is -48.3dBm.</w:t>
      </w:r>
    </w:p>
    <w:p w14:paraId="3F573406" w14:textId="68B4E6AA" w:rsidR="001664D1" w:rsidRDefault="001664D1" w:rsidP="009267C2">
      <w:pPr>
        <w:pStyle w:val="B1"/>
        <w:ind w:left="0" w:firstLine="0"/>
        <w:rPr>
          <w:sz w:val="24"/>
          <w:szCs w:val="24"/>
          <w:lang w:eastAsia="zh-CN"/>
        </w:rPr>
      </w:pPr>
      <w:r>
        <w:rPr>
          <w:sz w:val="24"/>
          <w:szCs w:val="24"/>
          <w:lang w:eastAsia="zh-CN"/>
        </w:rPr>
        <w:t xml:space="preserve">Usually the in-band interferer is stronger than that for ACS, and the difference between them is assumed to be </w:t>
      </w:r>
      <w:r>
        <w:rPr>
          <w:color w:val="000000"/>
          <w:lang w:val="en-US" w:eastAsia="zh-CN"/>
        </w:rPr>
        <w:t>Δ</w:t>
      </w:r>
      <w:r w:rsidRPr="003A2FDB">
        <w:rPr>
          <w:color w:val="000000"/>
          <w:vertAlign w:val="subscript"/>
          <w:lang w:val="en-US" w:eastAsia="zh-CN"/>
        </w:rPr>
        <w:t>AI</w:t>
      </w:r>
      <w:r>
        <w:rPr>
          <w:sz w:val="24"/>
          <w:szCs w:val="24"/>
          <w:lang w:eastAsia="zh-CN"/>
        </w:rPr>
        <w:t xml:space="preserve"> (dB), then the in-band interferer level P</w:t>
      </w:r>
      <w:r w:rsidRPr="001664D1">
        <w:rPr>
          <w:sz w:val="24"/>
          <w:szCs w:val="24"/>
          <w:vertAlign w:val="subscript"/>
          <w:lang w:eastAsia="zh-CN"/>
        </w:rPr>
        <w:t>II</w:t>
      </w:r>
      <w:r>
        <w:rPr>
          <w:sz w:val="24"/>
          <w:szCs w:val="24"/>
          <w:lang w:eastAsia="zh-CN"/>
        </w:rPr>
        <w:t xml:space="preserve"> can be calculated as the following equation:</w:t>
      </w:r>
    </w:p>
    <w:p w14:paraId="2BC3FDF0" w14:textId="76847381" w:rsidR="001664D1" w:rsidRDefault="001664D1" w:rsidP="001664D1">
      <w:pPr>
        <w:pStyle w:val="B1"/>
        <w:ind w:left="0" w:firstLine="0"/>
        <w:jc w:val="center"/>
        <w:rPr>
          <w:sz w:val="24"/>
          <w:szCs w:val="24"/>
          <w:lang w:eastAsia="zh-CN"/>
        </w:rPr>
      </w:pPr>
      <w:r>
        <w:rPr>
          <w:sz w:val="24"/>
          <w:szCs w:val="24"/>
          <w:lang w:eastAsia="zh-CN"/>
        </w:rPr>
        <w:t>P</w:t>
      </w:r>
      <w:r w:rsidRPr="001664D1">
        <w:rPr>
          <w:sz w:val="24"/>
          <w:szCs w:val="24"/>
          <w:vertAlign w:val="subscript"/>
          <w:lang w:eastAsia="zh-CN"/>
        </w:rPr>
        <w:t>II</w:t>
      </w:r>
      <w:r>
        <w:rPr>
          <w:sz w:val="24"/>
          <w:szCs w:val="24"/>
          <w:lang w:eastAsia="zh-CN"/>
        </w:rPr>
        <w:t xml:space="preserve"> = </w:t>
      </w:r>
      <w:proofErr w:type="gramStart"/>
      <w:r>
        <w:rPr>
          <w:sz w:val="24"/>
          <w:szCs w:val="24"/>
          <w:lang w:eastAsia="zh-CN"/>
        </w:rPr>
        <w:t>P</w:t>
      </w:r>
      <w:r w:rsidRPr="001664D1">
        <w:rPr>
          <w:sz w:val="24"/>
          <w:szCs w:val="24"/>
          <w:vertAlign w:val="subscript"/>
          <w:lang w:eastAsia="zh-CN"/>
        </w:rPr>
        <w:t>AI</w:t>
      </w:r>
      <w:r>
        <w:rPr>
          <w:sz w:val="24"/>
          <w:szCs w:val="24"/>
          <w:lang w:eastAsia="zh-CN"/>
        </w:rPr>
        <w:t xml:space="preserve">  +</w:t>
      </w:r>
      <w:proofErr w:type="gramEnd"/>
      <w:r>
        <w:rPr>
          <w:sz w:val="24"/>
          <w:szCs w:val="24"/>
          <w:lang w:eastAsia="zh-CN"/>
        </w:rPr>
        <w:t xml:space="preserve">  </w:t>
      </w:r>
      <w:r>
        <w:rPr>
          <w:color w:val="000000"/>
          <w:lang w:val="en-US" w:eastAsia="zh-CN"/>
        </w:rPr>
        <w:t>Δ</w:t>
      </w:r>
      <w:r w:rsidRPr="003A2FDB">
        <w:rPr>
          <w:color w:val="000000"/>
          <w:vertAlign w:val="subscript"/>
          <w:lang w:val="en-US" w:eastAsia="zh-CN"/>
        </w:rPr>
        <w:t>AI</w:t>
      </w:r>
      <w:r>
        <w:rPr>
          <w:color w:val="000000"/>
          <w:vertAlign w:val="subscript"/>
          <w:lang w:val="en-US" w:eastAsia="zh-CN"/>
        </w:rPr>
        <w:t xml:space="preserve"> </w:t>
      </w:r>
    </w:p>
    <w:p w14:paraId="023B0892" w14:textId="3F6B7EB0" w:rsidR="001664D1" w:rsidRDefault="001664D1" w:rsidP="009267C2">
      <w:pPr>
        <w:pStyle w:val="B1"/>
        <w:ind w:left="0" w:firstLine="0"/>
        <w:rPr>
          <w:sz w:val="24"/>
          <w:szCs w:val="24"/>
          <w:lang w:eastAsia="zh-CN"/>
        </w:rPr>
      </w:pPr>
      <w:r>
        <w:rPr>
          <w:sz w:val="24"/>
          <w:szCs w:val="24"/>
          <w:lang w:eastAsia="zh-CN"/>
        </w:rPr>
        <w:t>In one example, if the difference is 9dB, then the in-band interferer level is -48.3 + 9 = -39.3 dBm.</w:t>
      </w:r>
    </w:p>
    <w:p w14:paraId="76407076" w14:textId="6CB03F15" w:rsidR="001664D1" w:rsidRDefault="001664D1" w:rsidP="009267C2">
      <w:pPr>
        <w:pStyle w:val="B1"/>
        <w:ind w:left="0" w:firstLine="0"/>
        <w:rPr>
          <w:sz w:val="24"/>
          <w:szCs w:val="24"/>
          <w:lang w:eastAsia="zh-CN"/>
        </w:rPr>
      </w:pPr>
      <w:r>
        <w:rPr>
          <w:sz w:val="24"/>
          <w:szCs w:val="24"/>
          <w:lang w:eastAsia="zh-CN"/>
        </w:rPr>
        <w:t>The following table illustrates the derivation described above.</w:t>
      </w:r>
    </w:p>
    <w:p w14:paraId="667F87DA" w14:textId="77777777" w:rsidR="001664D1" w:rsidRDefault="001664D1" w:rsidP="009267C2">
      <w:pPr>
        <w:pStyle w:val="B1"/>
        <w:ind w:left="0" w:firstLine="0"/>
        <w:rPr>
          <w:sz w:val="24"/>
          <w:szCs w:val="24"/>
          <w:lang w:eastAsia="zh-CN"/>
        </w:rPr>
      </w:pPr>
    </w:p>
    <w:tbl>
      <w:tblPr>
        <w:tblW w:w="6980" w:type="dxa"/>
        <w:jc w:val="center"/>
        <w:tblLook w:val="04A0" w:firstRow="1" w:lastRow="0" w:firstColumn="1" w:lastColumn="0" w:noHBand="0" w:noVBand="1"/>
      </w:tblPr>
      <w:tblGrid>
        <w:gridCol w:w="4040"/>
        <w:gridCol w:w="1760"/>
        <w:gridCol w:w="1180"/>
      </w:tblGrid>
      <w:tr w:rsidR="008F1F34" w:rsidRPr="008F1F34" w14:paraId="53C179F6" w14:textId="77777777" w:rsidTr="008F1F34">
        <w:trPr>
          <w:trHeight w:val="285"/>
          <w:jc w:val="center"/>
        </w:trPr>
        <w:tc>
          <w:tcPr>
            <w:tcW w:w="4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92561" w14:textId="77777777" w:rsidR="008F1F34" w:rsidRPr="008F1F34" w:rsidRDefault="008F1F34" w:rsidP="008F1F34">
            <w:pPr>
              <w:overflowPunct/>
              <w:autoSpaceDE/>
              <w:autoSpaceDN/>
              <w:adjustRightInd/>
              <w:spacing w:after="0"/>
              <w:jc w:val="center"/>
              <w:textAlignment w:val="auto"/>
              <w:rPr>
                <w:color w:val="000000"/>
                <w:lang w:eastAsia="zh-CN"/>
              </w:rPr>
            </w:pPr>
            <w:r w:rsidRPr="008F1F34">
              <w:rPr>
                <w:color w:val="000000"/>
                <w:lang w:eastAsia="zh-CN"/>
              </w:rPr>
              <w:lastRenderedPageBreak/>
              <w:t>Parameters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DABA745" w14:textId="77777777" w:rsidR="008F1F34" w:rsidRPr="008F1F34" w:rsidRDefault="008F1F34" w:rsidP="008F1F34">
            <w:pPr>
              <w:overflowPunct/>
              <w:autoSpaceDE/>
              <w:autoSpaceDN/>
              <w:adjustRightInd/>
              <w:spacing w:after="0"/>
              <w:jc w:val="center"/>
              <w:textAlignment w:val="auto"/>
              <w:rPr>
                <w:color w:val="000000"/>
                <w:lang w:eastAsia="zh-CN"/>
              </w:rPr>
            </w:pPr>
            <w:r w:rsidRPr="008F1F34">
              <w:rPr>
                <w:color w:val="000000"/>
                <w:lang w:eastAsia="zh-CN"/>
              </w:rPr>
              <w:t>Value</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6D3CE246" w14:textId="77777777" w:rsidR="008F1F34" w:rsidRPr="008F1F34" w:rsidRDefault="008F1F34" w:rsidP="008F1F34">
            <w:pPr>
              <w:overflowPunct/>
              <w:autoSpaceDE/>
              <w:autoSpaceDN/>
              <w:adjustRightInd/>
              <w:spacing w:after="0"/>
              <w:jc w:val="center"/>
              <w:textAlignment w:val="auto"/>
              <w:rPr>
                <w:color w:val="000000"/>
                <w:lang w:eastAsia="zh-CN"/>
              </w:rPr>
            </w:pPr>
            <w:r w:rsidRPr="008F1F34">
              <w:rPr>
                <w:color w:val="000000"/>
                <w:lang w:eastAsia="zh-CN"/>
              </w:rPr>
              <w:t>Unit</w:t>
            </w:r>
          </w:p>
        </w:tc>
      </w:tr>
      <w:tr w:rsidR="008F1F34" w:rsidRPr="008F1F34" w14:paraId="1D22720A" w14:textId="77777777" w:rsidTr="008F1F34">
        <w:trPr>
          <w:trHeight w:val="285"/>
          <w:jc w:val="center"/>
        </w:trPr>
        <w:tc>
          <w:tcPr>
            <w:tcW w:w="4040" w:type="dxa"/>
            <w:tcBorders>
              <w:top w:val="nil"/>
              <w:left w:val="single" w:sz="4" w:space="0" w:color="auto"/>
              <w:bottom w:val="single" w:sz="4" w:space="0" w:color="auto"/>
              <w:right w:val="single" w:sz="4" w:space="0" w:color="auto"/>
            </w:tcBorders>
            <w:shd w:val="clear" w:color="auto" w:fill="auto"/>
            <w:vAlign w:val="center"/>
            <w:hideMark/>
          </w:tcPr>
          <w:p w14:paraId="4070A6D0" w14:textId="77777777" w:rsidR="008F1F34" w:rsidRPr="008F1F34" w:rsidRDefault="008F1F34" w:rsidP="008F1F34">
            <w:pPr>
              <w:overflowPunct/>
              <w:autoSpaceDE/>
              <w:autoSpaceDN/>
              <w:adjustRightInd/>
              <w:spacing w:after="0"/>
              <w:textAlignment w:val="auto"/>
              <w:rPr>
                <w:color w:val="000000"/>
                <w:lang w:eastAsia="zh-CN"/>
              </w:rPr>
            </w:pPr>
            <w:r w:rsidRPr="008F1F34">
              <w:rPr>
                <w:color w:val="000000"/>
                <w:lang w:eastAsia="zh-CN"/>
              </w:rPr>
              <w:t>Channel bandwidth</w:t>
            </w:r>
          </w:p>
        </w:tc>
        <w:tc>
          <w:tcPr>
            <w:tcW w:w="1760" w:type="dxa"/>
            <w:tcBorders>
              <w:top w:val="nil"/>
              <w:left w:val="nil"/>
              <w:bottom w:val="single" w:sz="4" w:space="0" w:color="auto"/>
              <w:right w:val="single" w:sz="4" w:space="0" w:color="auto"/>
            </w:tcBorders>
            <w:shd w:val="clear" w:color="auto" w:fill="auto"/>
            <w:vAlign w:val="center"/>
            <w:hideMark/>
          </w:tcPr>
          <w:p w14:paraId="3CBC483D" w14:textId="77777777" w:rsidR="008F1F34" w:rsidRPr="008F1F34" w:rsidRDefault="008F1F34" w:rsidP="008F1F34">
            <w:pPr>
              <w:overflowPunct/>
              <w:autoSpaceDE/>
              <w:autoSpaceDN/>
              <w:adjustRightInd/>
              <w:spacing w:after="0"/>
              <w:jc w:val="center"/>
              <w:textAlignment w:val="auto"/>
              <w:rPr>
                <w:color w:val="000000"/>
                <w:lang w:eastAsia="zh-CN"/>
              </w:rPr>
            </w:pPr>
            <w:r w:rsidRPr="008F1F34">
              <w:rPr>
                <w:color w:val="000000"/>
                <w:lang w:eastAsia="zh-CN"/>
              </w:rPr>
              <w:t>200</w:t>
            </w:r>
          </w:p>
        </w:tc>
        <w:tc>
          <w:tcPr>
            <w:tcW w:w="1180" w:type="dxa"/>
            <w:tcBorders>
              <w:top w:val="nil"/>
              <w:left w:val="nil"/>
              <w:bottom w:val="single" w:sz="4" w:space="0" w:color="auto"/>
              <w:right w:val="single" w:sz="4" w:space="0" w:color="auto"/>
            </w:tcBorders>
            <w:shd w:val="clear" w:color="auto" w:fill="auto"/>
            <w:vAlign w:val="center"/>
            <w:hideMark/>
          </w:tcPr>
          <w:p w14:paraId="1E2C1B5D" w14:textId="77777777" w:rsidR="008F1F34" w:rsidRPr="008F1F34" w:rsidRDefault="008F1F34" w:rsidP="008F1F34">
            <w:pPr>
              <w:overflowPunct/>
              <w:autoSpaceDE/>
              <w:autoSpaceDN/>
              <w:adjustRightInd/>
              <w:spacing w:after="0"/>
              <w:jc w:val="center"/>
              <w:textAlignment w:val="auto"/>
              <w:rPr>
                <w:color w:val="000000"/>
                <w:lang w:eastAsia="zh-CN"/>
              </w:rPr>
            </w:pPr>
            <w:r w:rsidRPr="008F1F34">
              <w:rPr>
                <w:color w:val="000000"/>
                <w:lang w:eastAsia="zh-CN"/>
              </w:rPr>
              <w:t>MHz</w:t>
            </w:r>
          </w:p>
        </w:tc>
      </w:tr>
      <w:tr w:rsidR="008F1F34" w:rsidRPr="008F1F34" w14:paraId="636A064A" w14:textId="77777777" w:rsidTr="008F1F34">
        <w:trPr>
          <w:trHeight w:val="285"/>
          <w:jc w:val="center"/>
        </w:trPr>
        <w:tc>
          <w:tcPr>
            <w:tcW w:w="4040" w:type="dxa"/>
            <w:tcBorders>
              <w:top w:val="nil"/>
              <w:left w:val="single" w:sz="4" w:space="0" w:color="auto"/>
              <w:bottom w:val="single" w:sz="4" w:space="0" w:color="auto"/>
              <w:right w:val="single" w:sz="4" w:space="0" w:color="auto"/>
            </w:tcBorders>
            <w:shd w:val="clear" w:color="auto" w:fill="auto"/>
            <w:vAlign w:val="center"/>
            <w:hideMark/>
          </w:tcPr>
          <w:p w14:paraId="4D7DA666" w14:textId="77777777" w:rsidR="008F1F34" w:rsidRPr="008F1F34" w:rsidRDefault="008F1F34" w:rsidP="008F1F34">
            <w:pPr>
              <w:overflowPunct/>
              <w:autoSpaceDE/>
              <w:autoSpaceDN/>
              <w:adjustRightInd/>
              <w:spacing w:after="0"/>
              <w:textAlignment w:val="auto"/>
              <w:rPr>
                <w:color w:val="000000"/>
                <w:lang w:eastAsia="zh-CN"/>
              </w:rPr>
            </w:pPr>
            <w:r w:rsidRPr="008F1F34">
              <w:rPr>
                <w:color w:val="000000"/>
                <w:lang w:eastAsia="zh-CN"/>
              </w:rPr>
              <w:t>SCS</w:t>
            </w:r>
          </w:p>
        </w:tc>
        <w:tc>
          <w:tcPr>
            <w:tcW w:w="1760" w:type="dxa"/>
            <w:tcBorders>
              <w:top w:val="nil"/>
              <w:left w:val="nil"/>
              <w:bottom w:val="single" w:sz="4" w:space="0" w:color="auto"/>
              <w:right w:val="single" w:sz="4" w:space="0" w:color="auto"/>
            </w:tcBorders>
            <w:shd w:val="clear" w:color="auto" w:fill="auto"/>
            <w:vAlign w:val="center"/>
            <w:hideMark/>
          </w:tcPr>
          <w:p w14:paraId="68657CCE" w14:textId="77777777" w:rsidR="008F1F34" w:rsidRPr="008F1F34" w:rsidRDefault="008F1F34" w:rsidP="008F1F34">
            <w:pPr>
              <w:overflowPunct/>
              <w:autoSpaceDE/>
              <w:autoSpaceDN/>
              <w:adjustRightInd/>
              <w:spacing w:after="0"/>
              <w:jc w:val="center"/>
              <w:textAlignment w:val="auto"/>
              <w:rPr>
                <w:color w:val="000000"/>
                <w:lang w:eastAsia="zh-CN"/>
              </w:rPr>
            </w:pPr>
            <w:r w:rsidRPr="008F1F34">
              <w:rPr>
                <w:color w:val="000000"/>
                <w:lang w:eastAsia="zh-CN"/>
              </w:rPr>
              <w:t>30</w:t>
            </w:r>
          </w:p>
        </w:tc>
        <w:tc>
          <w:tcPr>
            <w:tcW w:w="1180" w:type="dxa"/>
            <w:tcBorders>
              <w:top w:val="nil"/>
              <w:left w:val="nil"/>
              <w:bottom w:val="single" w:sz="4" w:space="0" w:color="auto"/>
              <w:right w:val="single" w:sz="4" w:space="0" w:color="auto"/>
            </w:tcBorders>
            <w:shd w:val="clear" w:color="auto" w:fill="auto"/>
            <w:vAlign w:val="center"/>
            <w:hideMark/>
          </w:tcPr>
          <w:p w14:paraId="1871DE4E" w14:textId="77777777" w:rsidR="008F1F34" w:rsidRPr="008F1F34" w:rsidRDefault="008F1F34" w:rsidP="008F1F34">
            <w:pPr>
              <w:overflowPunct/>
              <w:autoSpaceDE/>
              <w:autoSpaceDN/>
              <w:adjustRightInd/>
              <w:spacing w:after="0"/>
              <w:jc w:val="center"/>
              <w:textAlignment w:val="auto"/>
              <w:rPr>
                <w:color w:val="000000"/>
                <w:lang w:eastAsia="zh-CN"/>
              </w:rPr>
            </w:pPr>
            <w:r w:rsidRPr="008F1F34">
              <w:rPr>
                <w:color w:val="000000"/>
                <w:lang w:eastAsia="zh-CN"/>
              </w:rPr>
              <w:t>kHz</w:t>
            </w:r>
          </w:p>
        </w:tc>
      </w:tr>
      <w:tr w:rsidR="008F1F34" w:rsidRPr="008F1F34" w14:paraId="5E5736E8" w14:textId="77777777" w:rsidTr="008F1F34">
        <w:trPr>
          <w:trHeight w:val="465"/>
          <w:jc w:val="center"/>
        </w:trPr>
        <w:tc>
          <w:tcPr>
            <w:tcW w:w="4040" w:type="dxa"/>
            <w:tcBorders>
              <w:top w:val="nil"/>
              <w:left w:val="single" w:sz="4" w:space="0" w:color="auto"/>
              <w:bottom w:val="single" w:sz="4" w:space="0" w:color="auto"/>
              <w:right w:val="single" w:sz="4" w:space="0" w:color="auto"/>
            </w:tcBorders>
            <w:shd w:val="clear" w:color="auto" w:fill="auto"/>
            <w:vAlign w:val="center"/>
            <w:hideMark/>
          </w:tcPr>
          <w:p w14:paraId="7580284F" w14:textId="77777777" w:rsidR="008F1F34" w:rsidRPr="008F1F34" w:rsidRDefault="008F1F34" w:rsidP="008F1F34">
            <w:pPr>
              <w:overflowPunct/>
              <w:autoSpaceDE/>
              <w:autoSpaceDN/>
              <w:adjustRightInd/>
              <w:spacing w:after="0"/>
              <w:textAlignment w:val="auto"/>
              <w:rPr>
                <w:color w:val="000000"/>
                <w:lang w:eastAsia="zh-CN"/>
              </w:rPr>
            </w:pPr>
            <w:r w:rsidRPr="008F1F34">
              <w:rPr>
                <w:color w:val="000000"/>
                <w:lang w:eastAsia="zh-CN"/>
              </w:rPr>
              <w:t>Number of PRBs</w:t>
            </w:r>
          </w:p>
        </w:tc>
        <w:tc>
          <w:tcPr>
            <w:tcW w:w="1760" w:type="dxa"/>
            <w:tcBorders>
              <w:top w:val="nil"/>
              <w:left w:val="nil"/>
              <w:bottom w:val="single" w:sz="4" w:space="0" w:color="auto"/>
              <w:right w:val="single" w:sz="4" w:space="0" w:color="auto"/>
            </w:tcBorders>
            <w:shd w:val="clear" w:color="auto" w:fill="auto"/>
            <w:vAlign w:val="center"/>
            <w:hideMark/>
          </w:tcPr>
          <w:p w14:paraId="50976053" w14:textId="77777777" w:rsidR="008F1F34" w:rsidRPr="008F1F34" w:rsidRDefault="008F1F34" w:rsidP="008F1F34">
            <w:pPr>
              <w:overflowPunct/>
              <w:autoSpaceDE/>
              <w:autoSpaceDN/>
              <w:adjustRightInd/>
              <w:spacing w:after="0"/>
              <w:jc w:val="center"/>
              <w:textAlignment w:val="auto"/>
              <w:rPr>
                <w:color w:val="000000"/>
                <w:lang w:eastAsia="zh-CN"/>
              </w:rPr>
            </w:pPr>
            <w:r w:rsidRPr="008F1F34">
              <w:rPr>
                <w:color w:val="000000"/>
                <w:lang w:eastAsia="zh-CN"/>
              </w:rPr>
              <w:t>546</w:t>
            </w:r>
          </w:p>
        </w:tc>
        <w:tc>
          <w:tcPr>
            <w:tcW w:w="1180" w:type="dxa"/>
            <w:tcBorders>
              <w:top w:val="nil"/>
              <w:left w:val="nil"/>
              <w:bottom w:val="single" w:sz="4" w:space="0" w:color="auto"/>
              <w:right w:val="single" w:sz="4" w:space="0" w:color="auto"/>
            </w:tcBorders>
            <w:shd w:val="clear" w:color="auto" w:fill="auto"/>
            <w:vAlign w:val="center"/>
            <w:hideMark/>
          </w:tcPr>
          <w:p w14:paraId="5A573348" w14:textId="77777777" w:rsidR="008F1F34" w:rsidRPr="008F1F34" w:rsidRDefault="008F1F34" w:rsidP="008F1F34">
            <w:pPr>
              <w:overflowPunct/>
              <w:autoSpaceDE/>
              <w:autoSpaceDN/>
              <w:adjustRightInd/>
              <w:spacing w:after="0"/>
              <w:jc w:val="center"/>
              <w:textAlignment w:val="auto"/>
              <w:rPr>
                <w:color w:val="000000"/>
                <w:lang w:eastAsia="zh-CN"/>
              </w:rPr>
            </w:pPr>
            <w:r w:rsidRPr="008F1F34">
              <w:rPr>
                <w:color w:val="000000"/>
                <w:lang w:eastAsia="zh-CN"/>
              </w:rPr>
              <w:t>PCS</w:t>
            </w:r>
          </w:p>
        </w:tc>
      </w:tr>
      <w:tr w:rsidR="008F1F34" w:rsidRPr="008F1F34" w14:paraId="1D10C58E" w14:textId="77777777" w:rsidTr="008F1F34">
        <w:trPr>
          <w:trHeight w:val="465"/>
          <w:jc w:val="center"/>
        </w:trPr>
        <w:tc>
          <w:tcPr>
            <w:tcW w:w="4040" w:type="dxa"/>
            <w:tcBorders>
              <w:top w:val="nil"/>
              <w:left w:val="single" w:sz="4" w:space="0" w:color="auto"/>
              <w:bottom w:val="single" w:sz="4" w:space="0" w:color="auto"/>
              <w:right w:val="single" w:sz="4" w:space="0" w:color="auto"/>
            </w:tcBorders>
            <w:shd w:val="clear" w:color="auto" w:fill="auto"/>
            <w:vAlign w:val="center"/>
            <w:hideMark/>
          </w:tcPr>
          <w:p w14:paraId="52E255BF" w14:textId="77777777" w:rsidR="008F1F34" w:rsidRPr="008F1F34" w:rsidRDefault="008F1F34" w:rsidP="008F1F34">
            <w:pPr>
              <w:overflowPunct/>
              <w:autoSpaceDE/>
              <w:autoSpaceDN/>
              <w:adjustRightInd/>
              <w:spacing w:after="0"/>
              <w:textAlignment w:val="auto"/>
              <w:rPr>
                <w:color w:val="000000"/>
                <w:lang w:eastAsia="zh-CN"/>
              </w:rPr>
            </w:pPr>
            <w:r w:rsidRPr="008F1F34">
              <w:rPr>
                <w:color w:val="000000"/>
                <w:lang w:eastAsia="zh-CN"/>
              </w:rPr>
              <w:t>Signal bandwidth</w:t>
            </w:r>
          </w:p>
        </w:tc>
        <w:tc>
          <w:tcPr>
            <w:tcW w:w="1760" w:type="dxa"/>
            <w:tcBorders>
              <w:top w:val="nil"/>
              <w:left w:val="nil"/>
              <w:bottom w:val="single" w:sz="4" w:space="0" w:color="auto"/>
              <w:right w:val="single" w:sz="4" w:space="0" w:color="auto"/>
            </w:tcBorders>
            <w:shd w:val="clear" w:color="auto" w:fill="auto"/>
            <w:vAlign w:val="center"/>
            <w:hideMark/>
          </w:tcPr>
          <w:p w14:paraId="500056B4" w14:textId="77777777" w:rsidR="008F1F34" w:rsidRPr="008F1F34" w:rsidRDefault="008F1F34" w:rsidP="008F1F34">
            <w:pPr>
              <w:overflowPunct/>
              <w:autoSpaceDE/>
              <w:autoSpaceDN/>
              <w:adjustRightInd/>
              <w:spacing w:after="0"/>
              <w:jc w:val="center"/>
              <w:textAlignment w:val="auto"/>
              <w:rPr>
                <w:color w:val="000000"/>
                <w:lang w:eastAsia="zh-CN"/>
              </w:rPr>
            </w:pPr>
            <w:r w:rsidRPr="008F1F34">
              <w:rPr>
                <w:color w:val="000000"/>
                <w:lang w:eastAsia="zh-CN"/>
              </w:rPr>
              <w:t>196.6</w:t>
            </w:r>
          </w:p>
        </w:tc>
        <w:tc>
          <w:tcPr>
            <w:tcW w:w="1180" w:type="dxa"/>
            <w:tcBorders>
              <w:top w:val="nil"/>
              <w:left w:val="nil"/>
              <w:bottom w:val="single" w:sz="4" w:space="0" w:color="auto"/>
              <w:right w:val="single" w:sz="4" w:space="0" w:color="auto"/>
            </w:tcBorders>
            <w:shd w:val="clear" w:color="auto" w:fill="auto"/>
            <w:vAlign w:val="center"/>
            <w:hideMark/>
          </w:tcPr>
          <w:p w14:paraId="380B1AD2" w14:textId="77777777" w:rsidR="008F1F34" w:rsidRPr="008F1F34" w:rsidRDefault="008F1F34" w:rsidP="008F1F34">
            <w:pPr>
              <w:overflowPunct/>
              <w:autoSpaceDE/>
              <w:autoSpaceDN/>
              <w:adjustRightInd/>
              <w:spacing w:after="0"/>
              <w:jc w:val="center"/>
              <w:textAlignment w:val="auto"/>
              <w:rPr>
                <w:color w:val="000000"/>
                <w:lang w:eastAsia="zh-CN"/>
              </w:rPr>
            </w:pPr>
            <w:r w:rsidRPr="008F1F34">
              <w:rPr>
                <w:color w:val="000000"/>
                <w:lang w:eastAsia="zh-CN"/>
              </w:rPr>
              <w:t>MHz</w:t>
            </w:r>
          </w:p>
        </w:tc>
      </w:tr>
      <w:tr w:rsidR="008F1F34" w:rsidRPr="008F1F34" w14:paraId="447DB0A6" w14:textId="77777777" w:rsidTr="008F1F34">
        <w:trPr>
          <w:trHeight w:val="285"/>
          <w:jc w:val="center"/>
        </w:trPr>
        <w:tc>
          <w:tcPr>
            <w:tcW w:w="4040" w:type="dxa"/>
            <w:tcBorders>
              <w:top w:val="nil"/>
              <w:left w:val="single" w:sz="4" w:space="0" w:color="auto"/>
              <w:bottom w:val="single" w:sz="4" w:space="0" w:color="auto"/>
              <w:right w:val="single" w:sz="4" w:space="0" w:color="auto"/>
            </w:tcBorders>
            <w:shd w:val="clear" w:color="auto" w:fill="auto"/>
            <w:vAlign w:val="center"/>
            <w:hideMark/>
          </w:tcPr>
          <w:p w14:paraId="27779534" w14:textId="77777777" w:rsidR="008F1F34" w:rsidRPr="008F1F34" w:rsidRDefault="008F1F34" w:rsidP="008F1F34">
            <w:pPr>
              <w:overflowPunct/>
              <w:autoSpaceDE/>
              <w:autoSpaceDN/>
              <w:adjustRightInd/>
              <w:spacing w:after="0"/>
              <w:textAlignment w:val="auto"/>
              <w:rPr>
                <w:color w:val="000000"/>
                <w:lang w:eastAsia="zh-CN"/>
              </w:rPr>
            </w:pPr>
            <w:r w:rsidRPr="008F1F34">
              <w:rPr>
                <w:color w:val="000000"/>
                <w:lang w:eastAsia="zh-CN"/>
              </w:rPr>
              <w:t>BS Rx NF in dB</w:t>
            </w:r>
          </w:p>
        </w:tc>
        <w:tc>
          <w:tcPr>
            <w:tcW w:w="1760" w:type="dxa"/>
            <w:tcBorders>
              <w:top w:val="nil"/>
              <w:left w:val="nil"/>
              <w:bottom w:val="single" w:sz="4" w:space="0" w:color="auto"/>
              <w:right w:val="single" w:sz="4" w:space="0" w:color="auto"/>
            </w:tcBorders>
            <w:shd w:val="clear" w:color="auto" w:fill="auto"/>
            <w:vAlign w:val="center"/>
            <w:hideMark/>
          </w:tcPr>
          <w:p w14:paraId="31A3C3B5" w14:textId="77777777" w:rsidR="008F1F34" w:rsidRPr="008F1F34" w:rsidRDefault="008F1F34" w:rsidP="008F1F34">
            <w:pPr>
              <w:overflowPunct/>
              <w:autoSpaceDE/>
              <w:autoSpaceDN/>
              <w:adjustRightInd/>
              <w:spacing w:after="0"/>
              <w:jc w:val="center"/>
              <w:textAlignment w:val="auto"/>
              <w:rPr>
                <w:color w:val="000000"/>
                <w:lang w:eastAsia="zh-CN"/>
              </w:rPr>
            </w:pPr>
            <w:r w:rsidRPr="008F1F34">
              <w:rPr>
                <w:color w:val="000000"/>
                <w:lang w:eastAsia="zh-CN"/>
              </w:rPr>
              <w:t>8</w:t>
            </w:r>
          </w:p>
        </w:tc>
        <w:tc>
          <w:tcPr>
            <w:tcW w:w="1180" w:type="dxa"/>
            <w:tcBorders>
              <w:top w:val="nil"/>
              <w:left w:val="nil"/>
              <w:bottom w:val="single" w:sz="4" w:space="0" w:color="auto"/>
              <w:right w:val="single" w:sz="4" w:space="0" w:color="auto"/>
            </w:tcBorders>
            <w:shd w:val="clear" w:color="auto" w:fill="auto"/>
            <w:vAlign w:val="center"/>
            <w:hideMark/>
          </w:tcPr>
          <w:p w14:paraId="7297CC18" w14:textId="77777777" w:rsidR="008F1F34" w:rsidRPr="008F1F34" w:rsidRDefault="008F1F34" w:rsidP="008F1F34">
            <w:pPr>
              <w:overflowPunct/>
              <w:autoSpaceDE/>
              <w:autoSpaceDN/>
              <w:adjustRightInd/>
              <w:spacing w:after="0"/>
              <w:jc w:val="center"/>
              <w:textAlignment w:val="auto"/>
              <w:rPr>
                <w:color w:val="000000"/>
                <w:lang w:eastAsia="zh-CN"/>
              </w:rPr>
            </w:pPr>
            <w:r w:rsidRPr="008F1F34">
              <w:rPr>
                <w:color w:val="000000"/>
                <w:lang w:eastAsia="zh-CN"/>
              </w:rPr>
              <w:t>dB</w:t>
            </w:r>
          </w:p>
        </w:tc>
      </w:tr>
      <w:tr w:rsidR="008F1F34" w:rsidRPr="008F1F34" w14:paraId="5F08A3D1" w14:textId="77777777" w:rsidTr="008F1F34">
        <w:trPr>
          <w:trHeight w:val="465"/>
          <w:jc w:val="center"/>
        </w:trPr>
        <w:tc>
          <w:tcPr>
            <w:tcW w:w="4040" w:type="dxa"/>
            <w:tcBorders>
              <w:top w:val="nil"/>
              <w:left w:val="single" w:sz="4" w:space="0" w:color="auto"/>
              <w:bottom w:val="single" w:sz="4" w:space="0" w:color="auto"/>
              <w:right w:val="single" w:sz="4" w:space="0" w:color="auto"/>
            </w:tcBorders>
            <w:shd w:val="clear" w:color="auto" w:fill="auto"/>
            <w:vAlign w:val="center"/>
            <w:hideMark/>
          </w:tcPr>
          <w:p w14:paraId="24EEBAEE" w14:textId="77777777" w:rsidR="008F1F34" w:rsidRPr="008F1F34" w:rsidRDefault="008F1F34" w:rsidP="008F1F34">
            <w:pPr>
              <w:overflowPunct/>
              <w:autoSpaceDE/>
              <w:autoSpaceDN/>
              <w:adjustRightInd/>
              <w:spacing w:after="0"/>
              <w:textAlignment w:val="auto"/>
              <w:rPr>
                <w:color w:val="000000"/>
                <w:lang w:eastAsia="zh-CN"/>
              </w:rPr>
            </w:pPr>
            <w:r w:rsidRPr="008F1F34">
              <w:rPr>
                <w:color w:val="000000"/>
                <w:lang w:eastAsia="zh-CN"/>
              </w:rPr>
              <w:t xml:space="preserve">Base station noise floor </w:t>
            </w:r>
          </w:p>
        </w:tc>
        <w:tc>
          <w:tcPr>
            <w:tcW w:w="1760" w:type="dxa"/>
            <w:tcBorders>
              <w:top w:val="nil"/>
              <w:left w:val="nil"/>
              <w:bottom w:val="single" w:sz="4" w:space="0" w:color="auto"/>
              <w:right w:val="single" w:sz="4" w:space="0" w:color="auto"/>
            </w:tcBorders>
            <w:shd w:val="clear" w:color="auto" w:fill="auto"/>
            <w:vAlign w:val="center"/>
            <w:hideMark/>
          </w:tcPr>
          <w:p w14:paraId="75860224" w14:textId="77777777" w:rsidR="008F1F34" w:rsidRPr="008F1F34" w:rsidRDefault="008F1F34" w:rsidP="008F1F34">
            <w:pPr>
              <w:overflowPunct/>
              <w:autoSpaceDE/>
              <w:autoSpaceDN/>
              <w:adjustRightInd/>
              <w:spacing w:after="0"/>
              <w:jc w:val="center"/>
              <w:textAlignment w:val="auto"/>
              <w:rPr>
                <w:color w:val="000000"/>
                <w:lang w:eastAsia="zh-CN"/>
              </w:rPr>
            </w:pPr>
            <w:r w:rsidRPr="008F1F34">
              <w:rPr>
                <w:color w:val="000000"/>
                <w:lang w:eastAsia="zh-CN"/>
              </w:rPr>
              <w:t>-83.1</w:t>
            </w:r>
          </w:p>
        </w:tc>
        <w:tc>
          <w:tcPr>
            <w:tcW w:w="1180" w:type="dxa"/>
            <w:tcBorders>
              <w:top w:val="nil"/>
              <w:left w:val="nil"/>
              <w:bottom w:val="single" w:sz="4" w:space="0" w:color="auto"/>
              <w:right w:val="single" w:sz="4" w:space="0" w:color="auto"/>
            </w:tcBorders>
            <w:shd w:val="clear" w:color="auto" w:fill="auto"/>
            <w:vAlign w:val="center"/>
            <w:hideMark/>
          </w:tcPr>
          <w:p w14:paraId="310D1C6F" w14:textId="77777777" w:rsidR="008F1F34" w:rsidRPr="008F1F34" w:rsidRDefault="008F1F34" w:rsidP="008F1F34">
            <w:pPr>
              <w:overflowPunct/>
              <w:autoSpaceDE/>
              <w:autoSpaceDN/>
              <w:adjustRightInd/>
              <w:spacing w:after="0"/>
              <w:jc w:val="center"/>
              <w:textAlignment w:val="auto"/>
              <w:rPr>
                <w:color w:val="000000"/>
                <w:lang w:eastAsia="zh-CN"/>
              </w:rPr>
            </w:pPr>
            <w:r w:rsidRPr="008F1F34">
              <w:rPr>
                <w:color w:val="000000"/>
                <w:lang w:eastAsia="zh-CN"/>
              </w:rPr>
              <w:t>dBm</w:t>
            </w:r>
          </w:p>
        </w:tc>
      </w:tr>
      <w:tr w:rsidR="008F1F34" w:rsidRPr="008F1F34" w14:paraId="3BDDB396" w14:textId="77777777" w:rsidTr="008F1F34">
        <w:trPr>
          <w:trHeight w:val="285"/>
          <w:jc w:val="center"/>
        </w:trPr>
        <w:tc>
          <w:tcPr>
            <w:tcW w:w="4040" w:type="dxa"/>
            <w:tcBorders>
              <w:top w:val="nil"/>
              <w:left w:val="single" w:sz="4" w:space="0" w:color="auto"/>
              <w:bottom w:val="single" w:sz="4" w:space="0" w:color="auto"/>
              <w:right w:val="single" w:sz="4" w:space="0" w:color="auto"/>
            </w:tcBorders>
            <w:shd w:val="clear" w:color="auto" w:fill="auto"/>
            <w:vAlign w:val="center"/>
            <w:hideMark/>
          </w:tcPr>
          <w:p w14:paraId="69816C6E" w14:textId="77777777" w:rsidR="008F1F34" w:rsidRPr="008F1F34" w:rsidRDefault="008F1F34" w:rsidP="008F1F34">
            <w:pPr>
              <w:overflowPunct/>
              <w:autoSpaceDE/>
              <w:autoSpaceDN/>
              <w:adjustRightInd/>
              <w:spacing w:after="0"/>
              <w:textAlignment w:val="auto"/>
              <w:rPr>
                <w:color w:val="000000"/>
                <w:lang w:eastAsia="zh-CN"/>
              </w:rPr>
            </w:pPr>
            <w:r w:rsidRPr="008F1F34">
              <w:rPr>
                <w:color w:val="000000"/>
                <w:lang w:eastAsia="zh-CN"/>
              </w:rPr>
              <w:t>Allowed desensitization</w:t>
            </w:r>
          </w:p>
        </w:tc>
        <w:tc>
          <w:tcPr>
            <w:tcW w:w="1760" w:type="dxa"/>
            <w:tcBorders>
              <w:top w:val="nil"/>
              <w:left w:val="nil"/>
              <w:bottom w:val="single" w:sz="4" w:space="0" w:color="auto"/>
              <w:right w:val="single" w:sz="4" w:space="0" w:color="auto"/>
            </w:tcBorders>
            <w:shd w:val="clear" w:color="auto" w:fill="auto"/>
            <w:vAlign w:val="center"/>
            <w:hideMark/>
          </w:tcPr>
          <w:p w14:paraId="25299A32" w14:textId="77777777" w:rsidR="008F1F34" w:rsidRPr="008F1F34" w:rsidRDefault="008F1F34" w:rsidP="008F1F34">
            <w:pPr>
              <w:overflowPunct/>
              <w:autoSpaceDE/>
              <w:autoSpaceDN/>
              <w:adjustRightInd/>
              <w:spacing w:after="0"/>
              <w:jc w:val="center"/>
              <w:textAlignment w:val="auto"/>
              <w:rPr>
                <w:color w:val="000000"/>
                <w:lang w:eastAsia="zh-CN"/>
              </w:rPr>
            </w:pPr>
            <w:r w:rsidRPr="008F1F34">
              <w:rPr>
                <w:color w:val="000000"/>
                <w:lang w:eastAsia="zh-CN"/>
              </w:rPr>
              <w:t>6</w:t>
            </w:r>
          </w:p>
        </w:tc>
        <w:tc>
          <w:tcPr>
            <w:tcW w:w="1180" w:type="dxa"/>
            <w:tcBorders>
              <w:top w:val="nil"/>
              <w:left w:val="nil"/>
              <w:bottom w:val="single" w:sz="4" w:space="0" w:color="auto"/>
              <w:right w:val="single" w:sz="4" w:space="0" w:color="auto"/>
            </w:tcBorders>
            <w:shd w:val="clear" w:color="auto" w:fill="auto"/>
            <w:vAlign w:val="center"/>
            <w:hideMark/>
          </w:tcPr>
          <w:p w14:paraId="480D28A9" w14:textId="77777777" w:rsidR="008F1F34" w:rsidRPr="008F1F34" w:rsidRDefault="008F1F34" w:rsidP="008F1F34">
            <w:pPr>
              <w:overflowPunct/>
              <w:autoSpaceDE/>
              <w:autoSpaceDN/>
              <w:adjustRightInd/>
              <w:spacing w:after="0"/>
              <w:jc w:val="center"/>
              <w:textAlignment w:val="auto"/>
              <w:rPr>
                <w:color w:val="000000"/>
                <w:lang w:eastAsia="zh-CN"/>
              </w:rPr>
            </w:pPr>
            <w:r w:rsidRPr="008F1F34">
              <w:rPr>
                <w:color w:val="000000"/>
                <w:lang w:eastAsia="zh-CN"/>
              </w:rPr>
              <w:t>dB</w:t>
            </w:r>
          </w:p>
        </w:tc>
      </w:tr>
      <w:tr w:rsidR="008F1F34" w:rsidRPr="008F1F34" w14:paraId="07EDE6B8" w14:textId="77777777" w:rsidTr="008F1F34">
        <w:trPr>
          <w:trHeight w:val="285"/>
          <w:jc w:val="center"/>
        </w:trPr>
        <w:tc>
          <w:tcPr>
            <w:tcW w:w="4040" w:type="dxa"/>
            <w:tcBorders>
              <w:top w:val="nil"/>
              <w:left w:val="single" w:sz="4" w:space="0" w:color="auto"/>
              <w:bottom w:val="single" w:sz="4" w:space="0" w:color="auto"/>
              <w:right w:val="single" w:sz="4" w:space="0" w:color="auto"/>
            </w:tcBorders>
            <w:shd w:val="clear" w:color="auto" w:fill="auto"/>
            <w:vAlign w:val="center"/>
            <w:hideMark/>
          </w:tcPr>
          <w:p w14:paraId="433F5350" w14:textId="77777777" w:rsidR="008F1F34" w:rsidRPr="008F1F34" w:rsidRDefault="008F1F34" w:rsidP="008F1F34">
            <w:pPr>
              <w:overflowPunct/>
              <w:autoSpaceDE/>
              <w:autoSpaceDN/>
              <w:adjustRightInd/>
              <w:spacing w:after="0"/>
              <w:textAlignment w:val="auto"/>
              <w:rPr>
                <w:color w:val="000000"/>
                <w:lang w:eastAsia="zh-CN"/>
              </w:rPr>
            </w:pPr>
            <w:r w:rsidRPr="008F1F34">
              <w:rPr>
                <w:color w:val="000000"/>
                <w:lang w:val="fr-FR" w:eastAsia="zh-CN"/>
              </w:rPr>
              <w:t>Total base station noise</w:t>
            </w:r>
          </w:p>
        </w:tc>
        <w:tc>
          <w:tcPr>
            <w:tcW w:w="1760" w:type="dxa"/>
            <w:tcBorders>
              <w:top w:val="nil"/>
              <w:left w:val="nil"/>
              <w:bottom w:val="single" w:sz="4" w:space="0" w:color="auto"/>
              <w:right w:val="single" w:sz="4" w:space="0" w:color="auto"/>
            </w:tcBorders>
            <w:shd w:val="clear" w:color="auto" w:fill="auto"/>
            <w:vAlign w:val="center"/>
            <w:hideMark/>
          </w:tcPr>
          <w:p w14:paraId="6F6C0B63" w14:textId="77777777" w:rsidR="008F1F34" w:rsidRPr="008F1F34" w:rsidRDefault="008F1F34" w:rsidP="008F1F34">
            <w:pPr>
              <w:overflowPunct/>
              <w:autoSpaceDE/>
              <w:autoSpaceDN/>
              <w:adjustRightInd/>
              <w:spacing w:after="0"/>
              <w:jc w:val="center"/>
              <w:textAlignment w:val="auto"/>
              <w:rPr>
                <w:color w:val="000000"/>
                <w:lang w:eastAsia="zh-CN"/>
              </w:rPr>
            </w:pPr>
            <w:r w:rsidRPr="008F1F34">
              <w:rPr>
                <w:color w:val="000000"/>
                <w:lang w:eastAsia="zh-CN"/>
              </w:rPr>
              <w:t>-77.1</w:t>
            </w:r>
          </w:p>
        </w:tc>
        <w:tc>
          <w:tcPr>
            <w:tcW w:w="1180" w:type="dxa"/>
            <w:tcBorders>
              <w:top w:val="nil"/>
              <w:left w:val="nil"/>
              <w:bottom w:val="single" w:sz="4" w:space="0" w:color="auto"/>
              <w:right w:val="single" w:sz="4" w:space="0" w:color="auto"/>
            </w:tcBorders>
            <w:shd w:val="clear" w:color="auto" w:fill="auto"/>
            <w:vAlign w:val="center"/>
            <w:hideMark/>
          </w:tcPr>
          <w:p w14:paraId="1EFDC150" w14:textId="77777777" w:rsidR="008F1F34" w:rsidRPr="008F1F34" w:rsidRDefault="008F1F34" w:rsidP="008F1F34">
            <w:pPr>
              <w:overflowPunct/>
              <w:autoSpaceDE/>
              <w:autoSpaceDN/>
              <w:adjustRightInd/>
              <w:spacing w:after="0"/>
              <w:jc w:val="center"/>
              <w:textAlignment w:val="auto"/>
              <w:rPr>
                <w:color w:val="000000"/>
                <w:lang w:eastAsia="zh-CN"/>
              </w:rPr>
            </w:pPr>
            <w:r w:rsidRPr="008F1F34">
              <w:rPr>
                <w:color w:val="000000"/>
                <w:lang w:eastAsia="zh-CN"/>
              </w:rPr>
              <w:t>dBm</w:t>
            </w:r>
          </w:p>
        </w:tc>
      </w:tr>
      <w:tr w:rsidR="008F1F34" w:rsidRPr="008F1F34" w14:paraId="60864E58" w14:textId="77777777" w:rsidTr="008F1F34">
        <w:trPr>
          <w:trHeight w:val="285"/>
          <w:jc w:val="center"/>
        </w:trPr>
        <w:tc>
          <w:tcPr>
            <w:tcW w:w="4040" w:type="dxa"/>
            <w:tcBorders>
              <w:top w:val="nil"/>
              <w:left w:val="single" w:sz="4" w:space="0" w:color="auto"/>
              <w:bottom w:val="single" w:sz="4" w:space="0" w:color="auto"/>
              <w:right w:val="single" w:sz="4" w:space="0" w:color="auto"/>
            </w:tcBorders>
            <w:shd w:val="clear" w:color="auto" w:fill="auto"/>
            <w:vAlign w:val="center"/>
            <w:hideMark/>
          </w:tcPr>
          <w:p w14:paraId="4CB8CD5A" w14:textId="77777777" w:rsidR="008F1F34" w:rsidRPr="008F1F34" w:rsidRDefault="008F1F34" w:rsidP="008F1F34">
            <w:pPr>
              <w:overflowPunct/>
              <w:autoSpaceDE/>
              <w:autoSpaceDN/>
              <w:adjustRightInd/>
              <w:spacing w:after="0"/>
              <w:textAlignment w:val="auto"/>
              <w:rPr>
                <w:color w:val="000000"/>
                <w:lang w:eastAsia="zh-CN"/>
              </w:rPr>
            </w:pPr>
            <w:r w:rsidRPr="008F1F34">
              <w:rPr>
                <w:color w:val="000000"/>
                <w:lang w:eastAsia="zh-CN"/>
              </w:rPr>
              <w:t>Allowed base station interference</w:t>
            </w:r>
          </w:p>
        </w:tc>
        <w:tc>
          <w:tcPr>
            <w:tcW w:w="1760" w:type="dxa"/>
            <w:tcBorders>
              <w:top w:val="nil"/>
              <w:left w:val="nil"/>
              <w:bottom w:val="single" w:sz="4" w:space="0" w:color="auto"/>
              <w:right w:val="single" w:sz="4" w:space="0" w:color="auto"/>
            </w:tcBorders>
            <w:shd w:val="clear" w:color="auto" w:fill="auto"/>
            <w:vAlign w:val="center"/>
            <w:hideMark/>
          </w:tcPr>
          <w:p w14:paraId="68AACB7C" w14:textId="77777777" w:rsidR="008F1F34" w:rsidRPr="008F1F34" w:rsidRDefault="008F1F34" w:rsidP="008F1F34">
            <w:pPr>
              <w:overflowPunct/>
              <w:autoSpaceDE/>
              <w:autoSpaceDN/>
              <w:adjustRightInd/>
              <w:spacing w:after="0"/>
              <w:jc w:val="center"/>
              <w:textAlignment w:val="auto"/>
              <w:rPr>
                <w:color w:val="000000"/>
                <w:lang w:eastAsia="zh-CN"/>
              </w:rPr>
            </w:pPr>
            <w:r w:rsidRPr="008F1F34">
              <w:rPr>
                <w:color w:val="000000"/>
                <w:lang w:eastAsia="zh-CN"/>
              </w:rPr>
              <w:t>-78.3</w:t>
            </w:r>
          </w:p>
        </w:tc>
        <w:tc>
          <w:tcPr>
            <w:tcW w:w="1180" w:type="dxa"/>
            <w:tcBorders>
              <w:top w:val="nil"/>
              <w:left w:val="nil"/>
              <w:bottom w:val="single" w:sz="4" w:space="0" w:color="auto"/>
              <w:right w:val="single" w:sz="4" w:space="0" w:color="auto"/>
            </w:tcBorders>
            <w:shd w:val="clear" w:color="auto" w:fill="auto"/>
            <w:vAlign w:val="center"/>
            <w:hideMark/>
          </w:tcPr>
          <w:p w14:paraId="7B4D536C" w14:textId="77777777" w:rsidR="008F1F34" w:rsidRPr="008F1F34" w:rsidRDefault="008F1F34" w:rsidP="008F1F34">
            <w:pPr>
              <w:overflowPunct/>
              <w:autoSpaceDE/>
              <w:autoSpaceDN/>
              <w:adjustRightInd/>
              <w:spacing w:after="0"/>
              <w:jc w:val="center"/>
              <w:textAlignment w:val="auto"/>
              <w:rPr>
                <w:color w:val="000000"/>
                <w:lang w:eastAsia="zh-CN"/>
              </w:rPr>
            </w:pPr>
            <w:r w:rsidRPr="008F1F34">
              <w:rPr>
                <w:color w:val="000000"/>
                <w:lang w:eastAsia="zh-CN"/>
              </w:rPr>
              <w:t>dBm</w:t>
            </w:r>
          </w:p>
        </w:tc>
      </w:tr>
      <w:tr w:rsidR="008F1F34" w:rsidRPr="008F1F34" w14:paraId="38396490" w14:textId="77777777" w:rsidTr="008F1F34">
        <w:trPr>
          <w:trHeight w:val="285"/>
          <w:jc w:val="center"/>
        </w:trPr>
        <w:tc>
          <w:tcPr>
            <w:tcW w:w="4040" w:type="dxa"/>
            <w:tcBorders>
              <w:top w:val="nil"/>
              <w:left w:val="single" w:sz="4" w:space="0" w:color="auto"/>
              <w:bottom w:val="single" w:sz="4" w:space="0" w:color="auto"/>
              <w:right w:val="single" w:sz="4" w:space="0" w:color="auto"/>
            </w:tcBorders>
            <w:shd w:val="clear" w:color="auto" w:fill="auto"/>
            <w:vAlign w:val="center"/>
            <w:hideMark/>
          </w:tcPr>
          <w:p w14:paraId="1B786667" w14:textId="77777777" w:rsidR="008F1F34" w:rsidRPr="008F1F34" w:rsidRDefault="008F1F34" w:rsidP="008F1F34">
            <w:pPr>
              <w:overflowPunct/>
              <w:autoSpaceDE/>
              <w:autoSpaceDN/>
              <w:adjustRightInd/>
              <w:spacing w:after="0"/>
              <w:textAlignment w:val="auto"/>
              <w:rPr>
                <w:color w:val="000000"/>
                <w:lang w:eastAsia="zh-CN"/>
              </w:rPr>
            </w:pPr>
            <w:r w:rsidRPr="008F1F34">
              <w:rPr>
                <w:color w:val="000000"/>
                <w:lang w:eastAsia="zh-CN"/>
              </w:rPr>
              <w:t>Base station adjacent channel selectivity</w:t>
            </w:r>
          </w:p>
        </w:tc>
        <w:tc>
          <w:tcPr>
            <w:tcW w:w="1760" w:type="dxa"/>
            <w:tcBorders>
              <w:top w:val="nil"/>
              <w:left w:val="nil"/>
              <w:bottom w:val="single" w:sz="4" w:space="0" w:color="auto"/>
              <w:right w:val="single" w:sz="4" w:space="0" w:color="auto"/>
            </w:tcBorders>
            <w:shd w:val="clear" w:color="auto" w:fill="auto"/>
            <w:vAlign w:val="center"/>
            <w:hideMark/>
          </w:tcPr>
          <w:p w14:paraId="74FD4E7D" w14:textId="77777777" w:rsidR="008F1F34" w:rsidRPr="008F1F34" w:rsidRDefault="008F1F34" w:rsidP="008F1F34">
            <w:pPr>
              <w:overflowPunct/>
              <w:autoSpaceDE/>
              <w:autoSpaceDN/>
              <w:adjustRightInd/>
              <w:spacing w:after="0"/>
              <w:jc w:val="center"/>
              <w:textAlignment w:val="auto"/>
              <w:rPr>
                <w:color w:val="000000"/>
                <w:lang w:eastAsia="zh-CN"/>
              </w:rPr>
            </w:pPr>
            <w:r w:rsidRPr="008F1F34">
              <w:rPr>
                <w:color w:val="000000"/>
                <w:lang w:eastAsia="zh-CN"/>
              </w:rPr>
              <w:t>30.0</w:t>
            </w:r>
          </w:p>
        </w:tc>
        <w:tc>
          <w:tcPr>
            <w:tcW w:w="1180" w:type="dxa"/>
            <w:tcBorders>
              <w:top w:val="nil"/>
              <w:left w:val="nil"/>
              <w:bottom w:val="single" w:sz="4" w:space="0" w:color="auto"/>
              <w:right w:val="single" w:sz="4" w:space="0" w:color="auto"/>
            </w:tcBorders>
            <w:shd w:val="clear" w:color="auto" w:fill="auto"/>
            <w:vAlign w:val="center"/>
            <w:hideMark/>
          </w:tcPr>
          <w:p w14:paraId="34B8FFC8" w14:textId="77777777" w:rsidR="008F1F34" w:rsidRPr="008F1F34" w:rsidRDefault="008F1F34" w:rsidP="008F1F34">
            <w:pPr>
              <w:overflowPunct/>
              <w:autoSpaceDE/>
              <w:autoSpaceDN/>
              <w:adjustRightInd/>
              <w:spacing w:after="0"/>
              <w:jc w:val="center"/>
              <w:textAlignment w:val="auto"/>
              <w:rPr>
                <w:color w:val="000000"/>
                <w:lang w:eastAsia="zh-CN"/>
              </w:rPr>
            </w:pPr>
            <w:r w:rsidRPr="008F1F34">
              <w:rPr>
                <w:color w:val="000000"/>
                <w:lang w:eastAsia="zh-CN"/>
              </w:rPr>
              <w:t>dB</w:t>
            </w:r>
          </w:p>
        </w:tc>
      </w:tr>
      <w:tr w:rsidR="008F1F34" w:rsidRPr="008F1F34" w14:paraId="22E532FE" w14:textId="77777777" w:rsidTr="008F1F34">
        <w:trPr>
          <w:trHeight w:val="285"/>
          <w:jc w:val="center"/>
        </w:trPr>
        <w:tc>
          <w:tcPr>
            <w:tcW w:w="4040" w:type="dxa"/>
            <w:tcBorders>
              <w:top w:val="nil"/>
              <w:left w:val="single" w:sz="4" w:space="0" w:color="auto"/>
              <w:bottom w:val="single" w:sz="4" w:space="0" w:color="auto"/>
              <w:right w:val="single" w:sz="4" w:space="0" w:color="auto"/>
            </w:tcBorders>
            <w:shd w:val="clear" w:color="auto" w:fill="auto"/>
            <w:vAlign w:val="center"/>
            <w:hideMark/>
          </w:tcPr>
          <w:p w14:paraId="0CD3B80A" w14:textId="77777777" w:rsidR="008F1F34" w:rsidRPr="008F1F34" w:rsidRDefault="008F1F34" w:rsidP="008F1F34">
            <w:pPr>
              <w:overflowPunct/>
              <w:autoSpaceDE/>
              <w:autoSpaceDN/>
              <w:adjustRightInd/>
              <w:spacing w:after="0"/>
              <w:textAlignment w:val="auto"/>
              <w:rPr>
                <w:color w:val="000000"/>
                <w:lang w:eastAsia="zh-CN"/>
              </w:rPr>
            </w:pPr>
            <w:r w:rsidRPr="008F1F34">
              <w:rPr>
                <w:color w:val="000000"/>
                <w:lang w:eastAsia="zh-CN"/>
              </w:rPr>
              <w:t>Interfering signal level (ACS)</w:t>
            </w:r>
          </w:p>
        </w:tc>
        <w:tc>
          <w:tcPr>
            <w:tcW w:w="1760" w:type="dxa"/>
            <w:tcBorders>
              <w:top w:val="nil"/>
              <w:left w:val="nil"/>
              <w:bottom w:val="single" w:sz="4" w:space="0" w:color="auto"/>
              <w:right w:val="single" w:sz="4" w:space="0" w:color="auto"/>
            </w:tcBorders>
            <w:shd w:val="clear" w:color="auto" w:fill="auto"/>
            <w:vAlign w:val="center"/>
            <w:hideMark/>
          </w:tcPr>
          <w:p w14:paraId="3148154D" w14:textId="77777777" w:rsidR="008F1F34" w:rsidRPr="008F1F34" w:rsidRDefault="008F1F34" w:rsidP="008F1F34">
            <w:pPr>
              <w:overflowPunct/>
              <w:autoSpaceDE/>
              <w:autoSpaceDN/>
              <w:adjustRightInd/>
              <w:spacing w:after="0"/>
              <w:jc w:val="center"/>
              <w:textAlignment w:val="auto"/>
              <w:rPr>
                <w:color w:val="000000"/>
                <w:lang w:eastAsia="zh-CN"/>
              </w:rPr>
            </w:pPr>
            <w:r w:rsidRPr="008F1F34">
              <w:rPr>
                <w:color w:val="000000"/>
                <w:lang w:eastAsia="zh-CN"/>
              </w:rPr>
              <w:t>-48.3</w:t>
            </w:r>
          </w:p>
        </w:tc>
        <w:tc>
          <w:tcPr>
            <w:tcW w:w="1180" w:type="dxa"/>
            <w:tcBorders>
              <w:top w:val="nil"/>
              <w:left w:val="nil"/>
              <w:bottom w:val="single" w:sz="4" w:space="0" w:color="auto"/>
              <w:right w:val="single" w:sz="4" w:space="0" w:color="auto"/>
            </w:tcBorders>
            <w:shd w:val="clear" w:color="auto" w:fill="auto"/>
            <w:vAlign w:val="center"/>
            <w:hideMark/>
          </w:tcPr>
          <w:p w14:paraId="3565F142" w14:textId="77777777" w:rsidR="008F1F34" w:rsidRPr="008F1F34" w:rsidRDefault="008F1F34" w:rsidP="008F1F34">
            <w:pPr>
              <w:overflowPunct/>
              <w:autoSpaceDE/>
              <w:autoSpaceDN/>
              <w:adjustRightInd/>
              <w:spacing w:after="0"/>
              <w:jc w:val="center"/>
              <w:textAlignment w:val="auto"/>
              <w:rPr>
                <w:color w:val="000000"/>
                <w:lang w:eastAsia="zh-CN"/>
              </w:rPr>
            </w:pPr>
            <w:r w:rsidRPr="008F1F34">
              <w:rPr>
                <w:color w:val="000000"/>
                <w:lang w:eastAsia="zh-CN"/>
              </w:rPr>
              <w:t>dBm</w:t>
            </w:r>
          </w:p>
        </w:tc>
      </w:tr>
      <w:tr w:rsidR="008F1F34" w:rsidRPr="008F1F34" w14:paraId="7D74F322" w14:textId="77777777" w:rsidTr="008F1F34">
        <w:trPr>
          <w:trHeight w:val="285"/>
          <w:jc w:val="center"/>
        </w:trPr>
        <w:tc>
          <w:tcPr>
            <w:tcW w:w="4040" w:type="dxa"/>
            <w:tcBorders>
              <w:top w:val="nil"/>
              <w:left w:val="single" w:sz="4" w:space="0" w:color="auto"/>
              <w:bottom w:val="single" w:sz="4" w:space="0" w:color="auto"/>
              <w:right w:val="single" w:sz="4" w:space="0" w:color="auto"/>
            </w:tcBorders>
            <w:shd w:val="clear" w:color="auto" w:fill="auto"/>
            <w:vAlign w:val="center"/>
            <w:hideMark/>
          </w:tcPr>
          <w:p w14:paraId="4DE1EEB9" w14:textId="700674F8" w:rsidR="008F1F34" w:rsidRPr="008F1F34" w:rsidRDefault="008F1F34" w:rsidP="008F1F34">
            <w:pPr>
              <w:overflowPunct/>
              <w:autoSpaceDE/>
              <w:autoSpaceDN/>
              <w:adjustRightInd/>
              <w:spacing w:after="0"/>
              <w:textAlignment w:val="auto"/>
              <w:rPr>
                <w:color w:val="000000"/>
                <w:lang w:val="en-US" w:eastAsia="zh-CN"/>
              </w:rPr>
            </w:pPr>
            <w:r w:rsidRPr="008F1F34">
              <w:rPr>
                <w:color w:val="000000"/>
                <w:lang w:eastAsia="zh-CN"/>
              </w:rPr>
              <w:t>Difference between in-band and ACS inte</w:t>
            </w:r>
            <w:r>
              <w:rPr>
                <w:color w:val="000000"/>
                <w:lang w:eastAsia="zh-CN"/>
              </w:rPr>
              <w:t>r</w:t>
            </w:r>
            <w:r w:rsidRPr="008F1F34">
              <w:rPr>
                <w:color w:val="000000"/>
                <w:lang w:eastAsia="zh-CN"/>
              </w:rPr>
              <w:t>ferer</w:t>
            </w:r>
            <w:r w:rsidR="003A2FDB">
              <w:rPr>
                <w:color w:val="000000"/>
                <w:lang w:eastAsia="zh-CN"/>
              </w:rPr>
              <w:t xml:space="preserve"> </w:t>
            </w:r>
            <w:r w:rsidR="003A2FDB">
              <w:rPr>
                <w:color w:val="000000"/>
                <w:lang w:val="en-US" w:eastAsia="zh-CN"/>
              </w:rPr>
              <w:t>(Δ</w:t>
            </w:r>
            <w:r w:rsidR="003A2FDB" w:rsidRPr="003A2FDB">
              <w:rPr>
                <w:color w:val="000000"/>
                <w:vertAlign w:val="subscript"/>
                <w:lang w:val="en-US" w:eastAsia="zh-CN"/>
              </w:rPr>
              <w:t>AI</w:t>
            </w:r>
            <w:r w:rsidR="003A2FDB">
              <w:rPr>
                <w:color w:val="000000"/>
                <w:lang w:val="en-US" w:eastAsia="zh-CN"/>
              </w:rPr>
              <w:t>)</w:t>
            </w:r>
          </w:p>
        </w:tc>
        <w:tc>
          <w:tcPr>
            <w:tcW w:w="1760" w:type="dxa"/>
            <w:tcBorders>
              <w:top w:val="nil"/>
              <w:left w:val="nil"/>
              <w:bottom w:val="single" w:sz="4" w:space="0" w:color="auto"/>
              <w:right w:val="single" w:sz="4" w:space="0" w:color="auto"/>
            </w:tcBorders>
            <w:shd w:val="clear" w:color="auto" w:fill="auto"/>
            <w:vAlign w:val="center"/>
            <w:hideMark/>
          </w:tcPr>
          <w:p w14:paraId="6F900EBD" w14:textId="77777777" w:rsidR="008F1F34" w:rsidRPr="008F1F34" w:rsidRDefault="008F1F34" w:rsidP="008F1F34">
            <w:pPr>
              <w:overflowPunct/>
              <w:autoSpaceDE/>
              <w:autoSpaceDN/>
              <w:adjustRightInd/>
              <w:spacing w:after="0"/>
              <w:jc w:val="center"/>
              <w:textAlignment w:val="auto"/>
              <w:rPr>
                <w:color w:val="000000"/>
                <w:lang w:eastAsia="zh-CN"/>
              </w:rPr>
            </w:pPr>
            <w:r w:rsidRPr="008F1F34">
              <w:rPr>
                <w:color w:val="000000"/>
                <w:lang w:eastAsia="zh-CN"/>
              </w:rPr>
              <w:t>9.0</w:t>
            </w:r>
          </w:p>
        </w:tc>
        <w:tc>
          <w:tcPr>
            <w:tcW w:w="1180" w:type="dxa"/>
            <w:tcBorders>
              <w:top w:val="nil"/>
              <w:left w:val="nil"/>
              <w:bottom w:val="single" w:sz="4" w:space="0" w:color="auto"/>
              <w:right w:val="single" w:sz="4" w:space="0" w:color="auto"/>
            </w:tcBorders>
            <w:shd w:val="clear" w:color="auto" w:fill="auto"/>
            <w:vAlign w:val="center"/>
            <w:hideMark/>
          </w:tcPr>
          <w:p w14:paraId="04925935" w14:textId="77777777" w:rsidR="008F1F34" w:rsidRPr="008F1F34" w:rsidRDefault="008F1F34" w:rsidP="008F1F34">
            <w:pPr>
              <w:overflowPunct/>
              <w:autoSpaceDE/>
              <w:autoSpaceDN/>
              <w:adjustRightInd/>
              <w:spacing w:after="0"/>
              <w:jc w:val="center"/>
              <w:textAlignment w:val="auto"/>
              <w:rPr>
                <w:color w:val="000000"/>
                <w:lang w:eastAsia="zh-CN"/>
              </w:rPr>
            </w:pPr>
            <w:r w:rsidRPr="008F1F34">
              <w:rPr>
                <w:color w:val="000000"/>
                <w:lang w:eastAsia="zh-CN"/>
              </w:rPr>
              <w:t>dB</w:t>
            </w:r>
          </w:p>
        </w:tc>
      </w:tr>
      <w:tr w:rsidR="008F1F34" w:rsidRPr="008F1F34" w14:paraId="4F7138AD" w14:textId="77777777" w:rsidTr="008F1F34">
        <w:trPr>
          <w:trHeight w:val="285"/>
          <w:jc w:val="center"/>
        </w:trPr>
        <w:tc>
          <w:tcPr>
            <w:tcW w:w="4040" w:type="dxa"/>
            <w:tcBorders>
              <w:top w:val="nil"/>
              <w:left w:val="single" w:sz="4" w:space="0" w:color="auto"/>
              <w:bottom w:val="single" w:sz="4" w:space="0" w:color="auto"/>
              <w:right w:val="single" w:sz="4" w:space="0" w:color="auto"/>
            </w:tcBorders>
            <w:shd w:val="clear" w:color="auto" w:fill="auto"/>
            <w:vAlign w:val="center"/>
            <w:hideMark/>
          </w:tcPr>
          <w:p w14:paraId="0AA057FD" w14:textId="77777777" w:rsidR="008F1F34" w:rsidRPr="008F1F34" w:rsidRDefault="008F1F34" w:rsidP="008F1F34">
            <w:pPr>
              <w:overflowPunct/>
              <w:autoSpaceDE/>
              <w:autoSpaceDN/>
              <w:adjustRightInd/>
              <w:spacing w:after="0"/>
              <w:textAlignment w:val="auto"/>
              <w:rPr>
                <w:color w:val="000000"/>
                <w:lang w:eastAsia="zh-CN"/>
              </w:rPr>
            </w:pPr>
            <w:r w:rsidRPr="008F1F34">
              <w:rPr>
                <w:color w:val="000000"/>
                <w:lang w:eastAsia="zh-CN"/>
              </w:rPr>
              <w:t>Interfering signal level (In-band)</w:t>
            </w:r>
          </w:p>
        </w:tc>
        <w:tc>
          <w:tcPr>
            <w:tcW w:w="1760" w:type="dxa"/>
            <w:tcBorders>
              <w:top w:val="nil"/>
              <w:left w:val="nil"/>
              <w:bottom w:val="single" w:sz="4" w:space="0" w:color="auto"/>
              <w:right w:val="single" w:sz="4" w:space="0" w:color="auto"/>
            </w:tcBorders>
            <w:shd w:val="clear" w:color="000000" w:fill="FFFFFF"/>
            <w:vAlign w:val="center"/>
            <w:hideMark/>
          </w:tcPr>
          <w:p w14:paraId="445C4978" w14:textId="77777777" w:rsidR="008F1F34" w:rsidRPr="008F1F34" w:rsidRDefault="008F1F34" w:rsidP="008F1F34">
            <w:pPr>
              <w:overflowPunct/>
              <w:autoSpaceDE/>
              <w:autoSpaceDN/>
              <w:adjustRightInd/>
              <w:spacing w:after="0"/>
              <w:jc w:val="center"/>
              <w:textAlignment w:val="auto"/>
              <w:rPr>
                <w:color w:val="000000"/>
                <w:lang w:eastAsia="zh-CN"/>
              </w:rPr>
            </w:pPr>
            <w:r w:rsidRPr="008F1F34">
              <w:rPr>
                <w:color w:val="000000"/>
                <w:lang w:eastAsia="zh-CN"/>
              </w:rPr>
              <w:t>-39.3</w:t>
            </w:r>
          </w:p>
        </w:tc>
        <w:tc>
          <w:tcPr>
            <w:tcW w:w="1180" w:type="dxa"/>
            <w:tcBorders>
              <w:top w:val="nil"/>
              <w:left w:val="nil"/>
              <w:bottom w:val="single" w:sz="4" w:space="0" w:color="auto"/>
              <w:right w:val="single" w:sz="4" w:space="0" w:color="auto"/>
            </w:tcBorders>
            <w:shd w:val="clear" w:color="auto" w:fill="auto"/>
            <w:vAlign w:val="center"/>
            <w:hideMark/>
          </w:tcPr>
          <w:p w14:paraId="237B6227" w14:textId="77777777" w:rsidR="008F1F34" w:rsidRPr="008F1F34" w:rsidRDefault="008F1F34" w:rsidP="008F1F34">
            <w:pPr>
              <w:overflowPunct/>
              <w:autoSpaceDE/>
              <w:autoSpaceDN/>
              <w:adjustRightInd/>
              <w:spacing w:after="0"/>
              <w:jc w:val="center"/>
              <w:textAlignment w:val="auto"/>
              <w:rPr>
                <w:color w:val="000000"/>
                <w:lang w:eastAsia="zh-CN"/>
              </w:rPr>
            </w:pPr>
            <w:r w:rsidRPr="008F1F34">
              <w:rPr>
                <w:color w:val="000000"/>
                <w:lang w:eastAsia="zh-CN"/>
              </w:rPr>
              <w:t>dBm</w:t>
            </w:r>
          </w:p>
        </w:tc>
      </w:tr>
    </w:tbl>
    <w:p w14:paraId="54DAB4F7" w14:textId="77777777" w:rsidR="00913316" w:rsidRDefault="00913316" w:rsidP="009267C2">
      <w:pPr>
        <w:pStyle w:val="B1"/>
        <w:ind w:left="0" w:firstLine="0"/>
        <w:rPr>
          <w:sz w:val="24"/>
          <w:szCs w:val="24"/>
          <w:lang w:eastAsia="zh-CN"/>
        </w:rPr>
      </w:pPr>
    </w:p>
    <w:p w14:paraId="51226B73" w14:textId="3E725535" w:rsidR="00E43EB3" w:rsidRPr="00E43EB3" w:rsidRDefault="00B96923" w:rsidP="009267C2">
      <w:pPr>
        <w:pStyle w:val="B1"/>
        <w:ind w:left="0" w:firstLine="0"/>
        <w:rPr>
          <w:sz w:val="24"/>
          <w:szCs w:val="24"/>
          <w:lang w:eastAsia="zh-CN"/>
        </w:rPr>
      </w:pPr>
      <w:r>
        <w:rPr>
          <w:sz w:val="24"/>
          <w:szCs w:val="24"/>
          <w:lang w:eastAsia="zh-CN"/>
        </w:rPr>
        <w:t>However, to specify an operating band for this frequency range in the future, the in-band interferer power level is one of the main tasks, therefore, this could be left to that stage, and for the time being, it is sufficient to capture the possible calculation method for in-band interferer levels into TR.</w:t>
      </w:r>
    </w:p>
    <w:p w14:paraId="5EADDDA3" w14:textId="3F262F13" w:rsidR="00E43EB3" w:rsidRPr="00574508" w:rsidRDefault="00574508" w:rsidP="009267C2">
      <w:pPr>
        <w:pStyle w:val="B1"/>
        <w:ind w:left="0" w:firstLine="0"/>
        <w:rPr>
          <w:b/>
          <w:bCs/>
          <w:sz w:val="24"/>
          <w:szCs w:val="24"/>
          <w:lang w:eastAsia="zh-CN"/>
        </w:rPr>
      </w:pPr>
      <w:r w:rsidRPr="00574508">
        <w:rPr>
          <w:b/>
          <w:bCs/>
          <w:sz w:val="24"/>
          <w:szCs w:val="24"/>
          <w:lang w:eastAsia="zh-CN"/>
        </w:rPr>
        <w:t xml:space="preserve">Proposal: For 14.8 – 15.35GHz frequency range, RAN4 to capture the </w:t>
      </w:r>
      <w:r w:rsidR="00B96923">
        <w:rPr>
          <w:b/>
          <w:bCs/>
          <w:sz w:val="24"/>
          <w:szCs w:val="24"/>
          <w:lang w:eastAsia="zh-CN"/>
        </w:rPr>
        <w:t xml:space="preserve">possible </w:t>
      </w:r>
      <w:r w:rsidR="00F6526B">
        <w:rPr>
          <w:b/>
          <w:bCs/>
          <w:sz w:val="24"/>
          <w:szCs w:val="24"/>
          <w:lang w:eastAsia="zh-CN"/>
        </w:rPr>
        <w:t xml:space="preserve">calculation method for </w:t>
      </w:r>
      <w:r w:rsidRPr="00574508">
        <w:rPr>
          <w:b/>
          <w:bCs/>
          <w:sz w:val="24"/>
          <w:szCs w:val="24"/>
          <w:lang w:eastAsia="zh-CN"/>
        </w:rPr>
        <w:t xml:space="preserve">in-band interferer levels </w:t>
      </w:r>
      <w:r w:rsidR="00014941">
        <w:rPr>
          <w:b/>
          <w:bCs/>
          <w:sz w:val="24"/>
          <w:szCs w:val="24"/>
          <w:lang w:eastAsia="zh-CN"/>
        </w:rPr>
        <w:t>into TR</w:t>
      </w:r>
      <w:r w:rsidRPr="00574508">
        <w:rPr>
          <w:b/>
          <w:bCs/>
          <w:sz w:val="24"/>
          <w:szCs w:val="24"/>
          <w:lang w:eastAsia="zh-CN"/>
        </w:rPr>
        <w:t>.</w:t>
      </w:r>
    </w:p>
    <w:p w14:paraId="36BB70F4" w14:textId="77777777" w:rsidR="00574508" w:rsidRPr="00E43EB3" w:rsidRDefault="00574508" w:rsidP="009267C2">
      <w:pPr>
        <w:pStyle w:val="B1"/>
        <w:ind w:left="0" w:firstLine="0"/>
        <w:rPr>
          <w:sz w:val="24"/>
          <w:szCs w:val="24"/>
          <w:lang w:eastAsia="zh-CN"/>
        </w:rPr>
      </w:pPr>
    </w:p>
    <w:p w14:paraId="7EF56B81" w14:textId="502B2521" w:rsidR="001B434D" w:rsidRPr="00AB3D40" w:rsidRDefault="001B434D" w:rsidP="001B434D">
      <w:pPr>
        <w:pStyle w:val="Heading1"/>
        <w:rPr>
          <w:lang w:eastAsia="zh-CN"/>
        </w:rPr>
      </w:pPr>
      <w:r>
        <w:t>3 Conclusion</w:t>
      </w:r>
    </w:p>
    <w:p w14:paraId="3F6700F5" w14:textId="0BBF571E" w:rsidR="009267C2" w:rsidRDefault="00B96923" w:rsidP="009267C2">
      <w:pPr>
        <w:pStyle w:val="B1"/>
        <w:ind w:left="0" w:firstLine="0"/>
        <w:rPr>
          <w:sz w:val="24"/>
          <w:szCs w:val="24"/>
          <w:lang w:eastAsia="zh-CN"/>
        </w:rPr>
      </w:pPr>
      <w:r>
        <w:rPr>
          <w:sz w:val="24"/>
          <w:szCs w:val="24"/>
          <w:lang w:eastAsia="zh-CN"/>
        </w:rPr>
        <w:t>In this contribution, we have the following proposal for BS in-band blocking for the frequency range 14.8G – 15.35GHz:</w:t>
      </w:r>
    </w:p>
    <w:p w14:paraId="32BDDBA0" w14:textId="77777777" w:rsidR="00B96923" w:rsidRPr="00574508" w:rsidRDefault="00B96923" w:rsidP="00B96923">
      <w:pPr>
        <w:pStyle w:val="B1"/>
        <w:ind w:left="0" w:firstLine="0"/>
        <w:rPr>
          <w:b/>
          <w:bCs/>
          <w:sz w:val="24"/>
          <w:szCs w:val="24"/>
          <w:lang w:eastAsia="zh-CN"/>
        </w:rPr>
      </w:pPr>
      <w:r w:rsidRPr="00574508">
        <w:rPr>
          <w:b/>
          <w:bCs/>
          <w:sz w:val="24"/>
          <w:szCs w:val="24"/>
          <w:lang w:eastAsia="zh-CN"/>
        </w:rPr>
        <w:t xml:space="preserve">Proposal: For 14.8 – 15.35GHz frequency range, RAN4 to capture the </w:t>
      </w:r>
      <w:r>
        <w:rPr>
          <w:b/>
          <w:bCs/>
          <w:sz w:val="24"/>
          <w:szCs w:val="24"/>
          <w:lang w:eastAsia="zh-CN"/>
        </w:rPr>
        <w:t xml:space="preserve">possible calculation method for </w:t>
      </w:r>
      <w:r w:rsidRPr="00574508">
        <w:rPr>
          <w:b/>
          <w:bCs/>
          <w:sz w:val="24"/>
          <w:szCs w:val="24"/>
          <w:lang w:eastAsia="zh-CN"/>
        </w:rPr>
        <w:t xml:space="preserve">in-band interferer levels </w:t>
      </w:r>
      <w:r>
        <w:rPr>
          <w:b/>
          <w:bCs/>
          <w:sz w:val="24"/>
          <w:szCs w:val="24"/>
          <w:lang w:eastAsia="zh-CN"/>
        </w:rPr>
        <w:t>into TR</w:t>
      </w:r>
      <w:r w:rsidRPr="00574508">
        <w:rPr>
          <w:b/>
          <w:bCs/>
          <w:sz w:val="24"/>
          <w:szCs w:val="24"/>
          <w:lang w:eastAsia="zh-CN"/>
        </w:rPr>
        <w:t>.</w:t>
      </w:r>
    </w:p>
    <w:p w14:paraId="64C67BD4" w14:textId="77777777" w:rsidR="00B96923" w:rsidRPr="00627FD1" w:rsidRDefault="00B96923" w:rsidP="009267C2">
      <w:pPr>
        <w:pStyle w:val="B1"/>
        <w:ind w:left="0" w:firstLine="0"/>
        <w:rPr>
          <w:sz w:val="24"/>
          <w:szCs w:val="24"/>
          <w:lang w:eastAsia="zh-CN"/>
        </w:rPr>
      </w:pPr>
    </w:p>
    <w:p w14:paraId="74F47D6E" w14:textId="6CEEE47C" w:rsidR="009267C2" w:rsidRPr="00AB3D40" w:rsidRDefault="009267C2" w:rsidP="009267C2">
      <w:pPr>
        <w:pStyle w:val="Heading1"/>
        <w:rPr>
          <w:lang w:eastAsia="zh-CN"/>
        </w:rPr>
      </w:pPr>
      <w:r>
        <w:t>Reference</w:t>
      </w:r>
    </w:p>
    <w:p w14:paraId="627CE097" w14:textId="361FFD32" w:rsidR="009267C2" w:rsidRDefault="009267C2" w:rsidP="009267C2">
      <w:pPr>
        <w:pStyle w:val="B1"/>
        <w:ind w:left="0" w:firstLine="0"/>
        <w:rPr>
          <w:sz w:val="24"/>
          <w:szCs w:val="24"/>
          <w:lang w:eastAsia="zh-CN"/>
        </w:rPr>
      </w:pPr>
      <w:r w:rsidRPr="00627FD1">
        <w:rPr>
          <w:sz w:val="24"/>
          <w:szCs w:val="24"/>
          <w:lang w:eastAsia="zh-CN"/>
        </w:rPr>
        <w:t xml:space="preserve">[1] </w:t>
      </w:r>
      <w:r w:rsidR="00C21A17">
        <w:rPr>
          <w:sz w:val="24"/>
          <w:szCs w:val="24"/>
          <w:lang w:eastAsia="zh-CN"/>
        </w:rPr>
        <w:t>RP-242943, “</w:t>
      </w:r>
      <w:r w:rsidR="00C21A17" w:rsidRPr="00C21A17">
        <w:rPr>
          <w:sz w:val="24"/>
          <w:szCs w:val="24"/>
          <w:lang w:eastAsia="zh-CN"/>
        </w:rPr>
        <w:t>Status report for SI Study on IMT parameters for NR for 4400 to 4800 MHz, 7125 to 8400 MHz and 14800 to 15350 MHz</w:t>
      </w:r>
      <w:r w:rsidR="00C21A17">
        <w:rPr>
          <w:sz w:val="24"/>
          <w:szCs w:val="24"/>
          <w:lang w:eastAsia="zh-CN"/>
        </w:rPr>
        <w:t>”, Ericsson</w:t>
      </w:r>
    </w:p>
    <w:p w14:paraId="0948391E" w14:textId="158B6F2E" w:rsidR="008070E1" w:rsidRDefault="008070E1" w:rsidP="009267C2">
      <w:pPr>
        <w:pStyle w:val="B1"/>
        <w:ind w:left="0" w:firstLine="0"/>
        <w:rPr>
          <w:sz w:val="24"/>
          <w:szCs w:val="24"/>
          <w:lang w:eastAsia="zh-CN"/>
        </w:rPr>
      </w:pPr>
      <w:r>
        <w:rPr>
          <w:sz w:val="24"/>
          <w:szCs w:val="24"/>
          <w:lang w:eastAsia="zh-CN"/>
        </w:rPr>
        <w:t>[2] RP-242944, “</w:t>
      </w:r>
      <w:r w:rsidR="003C2BED" w:rsidRPr="003C2BED">
        <w:rPr>
          <w:sz w:val="24"/>
          <w:szCs w:val="24"/>
          <w:lang w:eastAsia="zh-CN"/>
        </w:rPr>
        <w:t>Revised SID: Study on IMT parameters for NR for 4400 to 4800 MHz, 7125 to 8400 MHz and 14800 to 15350 MHz</w:t>
      </w:r>
      <w:r>
        <w:rPr>
          <w:sz w:val="24"/>
          <w:szCs w:val="24"/>
          <w:lang w:eastAsia="zh-CN"/>
        </w:rPr>
        <w:t>”, Ericsson</w:t>
      </w:r>
    </w:p>
    <w:p w14:paraId="3CD51E0E" w14:textId="1EDD7635" w:rsidR="00662A54" w:rsidRDefault="00662A54" w:rsidP="009267C2">
      <w:pPr>
        <w:pStyle w:val="B1"/>
        <w:ind w:left="0" w:firstLine="0"/>
        <w:rPr>
          <w:sz w:val="24"/>
          <w:szCs w:val="24"/>
          <w:lang w:eastAsia="zh-CN"/>
        </w:rPr>
      </w:pPr>
      <w:r>
        <w:rPr>
          <w:sz w:val="24"/>
          <w:szCs w:val="24"/>
          <w:lang w:eastAsia="zh-CN"/>
        </w:rPr>
        <w:t>[3] R4-24</w:t>
      </w:r>
      <w:r w:rsidR="00D6702A">
        <w:rPr>
          <w:sz w:val="24"/>
          <w:szCs w:val="24"/>
          <w:lang w:eastAsia="zh-CN"/>
        </w:rPr>
        <w:t>06615, “</w:t>
      </w:r>
      <w:r w:rsidR="00D6702A" w:rsidRPr="00D6702A">
        <w:rPr>
          <w:sz w:val="24"/>
          <w:szCs w:val="24"/>
          <w:lang w:eastAsia="zh-CN"/>
        </w:rPr>
        <w:t>WF on IMT parameters for other frequency ranges</w:t>
      </w:r>
      <w:r w:rsidR="00D6702A">
        <w:rPr>
          <w:sz w:val="24"/>
          <w:szCs w:val="24"/>
          <w:lang w:eastAsia="zh-CN"/>
        </w:rPr>
        <w:t>”, CATT</w:t>
      </w:r>
    </w:p>
    <w:p w14:paraId="42C730DA" w14:textId="16489115" w:rsidR="00AD6C73" w:rsidRDefault="00AD6C73" w:rsidP="009267C2">
      <w:pPr>
        <w:pStyle w:val="B1"/>
        <w:ind w:left="0" w:firstLine="0"/>
        <w:rPr>
          <w:sz w:val="24"/>
          <w:szCs w:val="24"/>
          <w:lang w:eastAsia="zh-CN"/>
        </w:rPr>
      </w:pPr>
      <w:r>
        <w:rPr>
          <w:sz w:val="24"/>
          <w:szCs w:val="24"/>
          <w:lang w:eastAsia="zh-CN"/>
        </w:rPr>
        <w:t>[</w:t>
      </w:r>
      <w:r w:rsidR="00D5454C">
        <w:rPr>
          <w:sz w:val="24"/>
          <w:szCs w:val="24"/>
          <w:lang w:eastAsia="zh-CN"/>
        </w:rPr>
        <w:t>4</w:t>
      </w:r>
      <w:r>
        <w:rPr>
          <w:sz w:val="24"/>
          <w:szCs w:val="24"/>
          <w:lang w:eastAsia="zh-CN"/>
        </w:rPr>
        <w:t>] R4-2414281, “</w:t>
      </w:r>
      <w:r w:rsidRPr="00AD6C73">
        <w:rPr>
          <w:sz w:val="24"/>
          <w:szCs w:val="24"/>
          <w:lang w:eastAsia="zh-CN"/>
        </w:rPr>
        <w:t>WF on 8GHz BS parameters</w:t>
      </w:r>
      <w:r>
        <w:rPr>
          <w:sz w:val="24"/>
          <w:szCs w:val="24"/>
          <w:lang w:eastAsia="zh-CN"/>
        </w:rPr>
        <w:t>”, Huawei</w:t>
      </w:r>
    </w:p>
    <w:p w14:paraId="577B889E" w14:textId="0AA81024" w:rsidR="00C21A17" w:rsidRDefault="00C21A17" w:rsidP="009267C2">
      <w:pPr>
        <w:pStyle w:val="B1"/>
        <w:ind w:left="0" w:firstLine="0"/>
        <w:rPr>
          <w:sz w:val="24"/>
          <w:szCs w:val="24"/>
          <w:lang w:eastAsia="zh-CN"/>
        </w:rPr>
      </w:pPr>
      <w:r>
        <w:rPr>
          <w:sz w:val="24"/>
          <w:szCs w:val="24"/>
          <w:lang w:eastAsia="zh-CN"/>
        </w:rPr>
        <w:t>[</w:t>
      </w:r>
      <w:r w:rsidR="00D5454C">
        <w:rPr>
          <w:sz w:val="24"/>
          <w:szCs w:val="24"/>
          <w:lang w:eastAsia="zh-CN"/>
        </w:rPr>
        <w:t>5</w:t>
      </w:r>
      <w:r>
        <w:rPr>
          <w:sz w:val="24"/>
          <w:szCs w:val="24"/>
          <w:lang w:eastAsia="zh-CN"/>
        </w:rPr>
        <w:t>] R4-2420330, “</w:t>
      </w:r>
      <w:r w:rsidRPr="00C21A17">
        <w:rPr>
          <w:sz w:val="24"/>
          <w:szCs w:val="24"/>
          <w:lang w:eastAsia="zh-CN"/>
        </w:rPr>
        <w:t>WF on 15GHz BS parameters</w:t>
      </w:r>
      <w:r>
        <w:rPr>
          <w:sz w:val="24"/>
          <w:szCs w:val="24"/>
          <w:lang w:eastAsia="zh-CN"/>
        </w:rPr>
        <w:t>”, ZTE</w:t>
      </w:r>
    </w:p>
    <w:p w14:paraId="7E76D018" w14:textId="645E4F6D" w:rsidR="008319C4" w:rsidRPr="00627FD1" w:rsidRDefault="008319C4" w:rsidP="009267C2">
      <w:pPr>
        <w:pStyle w:val="B1"/>
        <w:ind w:left="0" w:firstLine="0"/>
        <w:rPr>
          <w:sz w:val="24"/>
          <w:szCs w:val="24"/>
          <w:lang w:eastAsia="zh-CN"/>
        </w:rPr>
      </w:pPr>
      <w:r>
        <w:rPr>
          <w:sz w:val="24"/>
          <w:szCs w:val="24"/>
          <w:lang w:eastAsia="zh-CN"/>
        </w:rPr>
        <w:t>[6] R4-2420385, “</w:t>
      </w:r>
      <w:r w:rsidRPr="008319C4">
        <w:rPr>
          <w:sz w:val="24"/>
          <w:szCs w:val="24"/>
          <w:lang w:eastAsia="zh-CN"/>
        </w:rPr>
        <w:t>LS Reply on Parameters for 14800 to 15350 MHz of terrestrial component of IMT for sharing and compatibility studies in preparation for WRC-27</w:t>
      </w:r>
      <w:r>
        <w:rPr>
          <w:sz w:val="24"/>
          <w:szCs w:val="24"/>
          <w:lang w:eastAsia="zh-CN"/>
        </w:rPr>
        <w:t>”, Ericsson</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2E05A" w14:textId="77777777" w:rsidR="00587E7F" w:rsidRPr="00A10429" w:rsidRDefault="00587E7F" w:rsidP="0064547A">
      <w:pPr>
        <w:spacing w:after="0"/>
        <w:rPr>
          <w:kern w:val="2"/>
          <w:lang w:eastAsia="zh-CN"/>
        </w:rPr>
      </w:pPr>
      <w:r>
        <w:separator/>
      </w:r>
    </w:p>
  </w:endnote>
  <w:endnote w:type="continuationSeparator" w:id="0">
    <w:p w14:paraId="54309486" w14:textId="77777777" w:rsidR="00587E7F" w:rsidRPr="00A10429" w:rsidRDefault="00587E7F"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B2A9E" w14:textId="77777777" w:rsidR="00587E7F" w:rsidRPr="00A10429" w:rsidRDefault="00587E7F" w:rsidP="0064547A">
      <w:pPr>
        <w:spacing w:after="0"/>
        <w:rPr>
          <w:kern w:val="2"/>
          <w:lang w:eastAsia="zh-CN"/>
        </w:rPr>
      </w:pPr>
      <w:r>
        <w:separator/>
      </w:r>
    </w:p>
  </w:footnote>
  <w:footnote w:type="continuationSeparator" w:id="0">
    <w:p w14:paraId="4893C5F4" w14:textId="77777777" w:rsidR="00587E7F" w:rsidRPr="00A10429" w:rsidRDefault="00587E7F"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6"/>
  </w:num>
  <w:num w:numId="2" w16cid:durableId="767700499">
    <w:abstractNumId w:val="12"/>
  </w:num>
  <w:num w:numId="3" w16cid:durableId="980884213">
    <w:abstractNumId w:val="24"/>
  </w:num>
  <w:num w:numId="4" w16cid:durableId="1846701611">
    <w:abstractNumId w:val="11"/>
  </w:num>
  <w:num w:numId="5" w16cid:durableId="699012852">
    <w:abstractNumId w:val="4"/>
  </w:num>
  <w:num w:numId="6" w16cid:durableId="1450201014">
    <w:abstractNumId w:val="18"/>
  </w:num>
  <w:num w:numId="7" w16cid:durableId="1073939429">
    <w:abstractNumId w:val="3"/>
  </w:num>
  <w:num w:numId="8" w16cid:durableId="214005466">
    <w:abstractNumId w:val="17"/>
  </w:num>
  <w:num w:numId="9" w16cid:durableId="1446921232">
    <w:abstractNumId w:val="26"/>
  </w:num>
  <w:num w:numId="10" w16cid:durableId="1699429464">
    <w:abstractNumId w:val="26"/>
  </w:num>
  <w:num w:numId="11" w16cid:durableId="1062680395">
    <w:abstractNumId w:val="1"/>
  </w:num>
  <w:num w:numId="12" w16cid:durableId="2118793171">
    <w:abstractNumId w:val="7"/>
  </w:num>
  <w:num w:numId="13" w16cid:durableId="1243837963">
    <w:abstractNumId w:val="6"/>
  </w:num>
  <w:num w:numId="14" w16cid:durableId="1296058729">
    <w:abstractNumId w:val="23"/>
  </w:num>
  <w:num w:numId="15" w16cid:durableId="1988124532">
    <w:abstractNumId w:val="26"/>
  </w:num>
  <w:num w:numId="16" w16cid:durableId="563225832">
    <w:abstractNumId w:val="26"/>
  </w:num>
  <w:num w:numId="17" w16cid:durableId="599262311">
    <w:abstractNumId w:val="16"/>
  </w:num>
  <w:num w:numId="18" w16cid:durableId="161748096">
    <w:abstractNumId w:val="27"/>
  </w:num>
  <w:num w:numId="19" w16cid:durableId="573126915">
    <w:abstractNumId w:val="26"/>
  </w:num>
  <w:num w:numId="20" w16cid:durableId="2004045065">
    <w:abstractNumId w:val="5"/>
  </w:num>
  <w:num w:numId="21" w16cid:durableId="584807274">
    <w:abstractNumId w:val="26"/>
  </w:num>
  <w:num w:numId="22" w16cid:durableId="181170718">
    <w:abstractNumId w:val="26"/>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9"/>
  </w:num>
  <w:num w:numId="29" w16cid:durableId="381445059">
    <w:abstractNumId w:val="20"/>
  </w:num>
  <w:num w:numId="30" w16cid:durableId="2003196174">
    <w:abstractNumId w:val="15"/>
  </w:num>
  <w:num w:numId="31" w16cid:durableId="886913614">
    <w:abstractNumId w:val="14"/>
  </w:num>
  <w:num w:numId="32" w16cid:durableId="48724925">
    <w:abstractNumId w:val="22"/>
  </w:num>
  <w:num w:numId="33" w16cid:durableId="1028601228">
    <w:abstractNumId w:val="21"/>
  </w:num>
  <w:num w:numId="34" w16cid:durableId="1275207278">
    <w:abstractNumId w:val="13"/>
  </w:num>
  <w:num w:numId="35" w16cid:durableId="608245496">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4941"/>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64D1"/>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BDD"/>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2FDB"/>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2BED"/>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6D6"/>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5D1A"/>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212"/>
    <w:rsid w:val="00546A98"/>
    <w:rsid w:val="0054719A"/>
    <w:rsid w:val="00547B57"/>
    <w:rsid w:val="00550275"/>
    <w:rsid w:val="005524EE"/>
    <w:rsid w:val="00552557"/>
    <w:rsid w:val="00552D87"/>
    <w:rsid w:val="005530C6"/>
    <w:rsid w:val="00554B06"/>
    <w:rsid w:val="00554C80"/>
    <w:rsid w:val="0055507D"/>
    <w:rsid w:val="005559BA"/>
    <w:rsid w:val="00555A76"/>
    <w:rsid w:val="00555DC0"/>
    <w:rsid w:val="005564BC"/>
    <w:rsid w:val="0055671D"/>
    <w:rsid w:val="00556A39"/>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08"/>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87E7F"/>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2A54"/>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4E7D"/>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2F5E"/>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1157"/>
    <w:rsid w:val="00802CB9"/>
    <w:rsid w:val="00802E53"/>
    <w:rsid w:val="00803141"/>
    <w:rsid w:val="008032F7"/>
    <w:rsid w:val="00803302"/>
    <w:rsid w:val="00804A6E"/>
    <w:rsid w:val="00805B7F"/>
    <w:rsid w:val="0080626A"/>
    <w:rsid w:val="008062DA"/>
    <w:rsid w:val="008065A4"/>
    <w:rsid w:val="008070E1"/>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9C4"/>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186"/>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4E79"/>
    <w:rsid w:val="008E5133"/>
    <w:rsid w:val="008E5296"/>
    <w:rsid w:val="008E61DF"/>
    <w:rsid w:val="008E63A8"/>
    <w:rsid w:val="008E6438"/>
    <w:rsid w:val="008E78BA"/>
    <w:rsid w:val="008F0A33"/>
    <w:rsid w:val="008F1A27"/>
    <w:rsid w:val="008F1F34"/>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07208"/>
    <w:rsid w:val="00910A50"/>
    <w:rsid w:val="00911A69"/>
    <w:rsid w:val="0091248D"/>
    <w:rsid w:val="00912B35"/>
    <w:rsid w:val="00913094"/>
    <w:rsid w:val="00913316"/>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046"/>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C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BCF"/>
    <w:rsid w:val="00B85E90"/>
    <w:rsid w:val="00B86123"/>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923"/>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A17"/>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B11"/>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454C"/>
    <w:rsid w:val="00D55B01"/>
    <w:rsid w:val="00D56B5E"/>
    <w:rsid w:val="00D57275"/>
    <w:rsid w:val="00D5746E"/>
    <w:rsid w:val="00D57F24"/>
    <w:rsid w:val="00D60B81"/>
    <w:rsid w:val="00D60F75"/>
    <w:rsid w:val="00D615A9"/>
    <w:rsid w:val="00D6267A"/>
    <w:rsid w:val="00D6290D"/>
    <w:rsid w:val="00D62A08"/>
    <w:rsid w:val="00D62A40"/>
    <w:rsid w:val="00D62E43"/>
    <w:rsid w:val="00D63D33"/>
    <w:rsid w:val="00D64B48"/>
    <w:rsid w:val="00D65828"/>
    <w:rsid w:val="00D65A72"/>
    <w:rsid w:val="00D65FBE"/>
    <w:rsid w:val="00D6702A"/>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3EB3"/>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526B"/>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54765">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73299261">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690</TotalTime>
  <Pages>3</Pages>
  <Words>632</Words>
  <Characters>3603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AC</cp:lastModifiedBy>
  <cp:revision>27</cp:revision>
  <dcterms:created xsi:type="dcterms:W3CDTF">2025-01-22T12:45:00Z</dcterms:created>
  <dcterms:modified xsi:type="dcterms:W3CDTF">2025-02-07T13:37:00Z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